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76DD912D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3D1CA1">
        <w:rPr>
          <w:b/>
          <w:lang w:val="en-US"/>
        </w:rPr>
        <w:t>ĐĂNG KÝ MỚI TRONG NĂM 2020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546"/>
        <w:gridCol w:w="6"/>
        <w:gridCol w:w="986"/>
        <w:gridCol w:w="6"/>
        <w:gridCol w:w="1281"/>
        <w:gridCol w:w="1281"/>
        <w:gridCol w:w="1281"/>
        <w:gridCol w:w="1274"/>
        <w:gridCol w:w="1560"/>
        <w:gridCol w:w="2331"/>
      </w:tblGrid>
      <w:tr w:rsidR="0065689C" w:rsidRPr="008C28ED" w14:paraId="4791858D" w14:textId="77777777" w:rsidTr="004A3755">
        <w:trPr>
          <w:tblHeader/>
        </w:trPr>
        <w:tc>
          <w:tcPr>
            <w:tcW w:w="174" w:type="pct"/>
            <w:vAlign w:val="center"/>
          </w:tcPr>
          <w:p w14:paraId="1B1E1B31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39" w:type="pct"/>
            <w:vAlign w:val="center"/>
          </w:tcPr>
          <w:p w14:paraId="6D05F7A5" w14:textId="77777777" w:rsidR="000270E5" w:rsidRPr="008C28ED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gridSpan w:val="2"/>
            <w:vAlign w:val="center"/>
          </w:tcPr>
          <w:p w14:paraId="18FA74C6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Chủ nhiệm đề tài</w:t>
            </w:r>
            <w:r w:rsidR="00892AD1" w:rsidRPr="008C28ED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gridSpan w:val="2"/>
            <w:vAlign w:val="center"/>
          </w:tcPr>
          <w:p w14:paraId="5B5E7EE9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7" w:type="pct"/>
            <w:vAlign w:val="center"/>
          </w:tcPr>
          <w:p w14:paraId="53378636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7" w:type="pct"/>
            <w:vAlign w:val="center"/>
          </w:tcPr>
          <w:p w14:paraId="1424B018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7" w:type="pct"/>
            <w:vAlign w:val="center"/>
          </w:tcPr>
          <w:p w14:paraId="5E844077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8C28ED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59" w:type="pct"/>
            <w:vAlign w:val="center"/>
          </w:tcPr>
          <w:p w14:paraId="2EFD5423" w14:textId="77777777" w:rsidR="000270E5" w:rsidRPr="008C28ED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8C28ED">
              <w:rPr>
                <w:b/>
                <w:sz w:val="22"/>
                <w:lang w:val="en-US"/>
              </w:rPr>
              <w:t>Sản phẩ</w:t>
            </w:r>
            <w:r w:rsidR="00381899" w:rsidRPr="008C28ED">
              <w:rPr>
                <w:b/>
                <w:sz w:val="22"/>
                <w:lang w:val="en-US"/>
              </w:rPr>
              <w:t>m</w:t>
            </w:r>
          </w:p>
        </w:tc>
      </w:tr>
      <w:tr w:rsidR="004A3755" w:rsidRPr="0068550A" w14:paraId="25269DB8" w14:textId="77777777" w:rsidTr="004A3755">
        <w:tc>
          <w:tcPr>
            <w:tcW w:w="174" w:type="pct"/>
          </w:tcPr>
          <w:p w14:paraId="59E91356" w14:textId="77777777" w:rsidR="004A3755" w:rsidRPr="0068550A" w:rsidRDefault="004A3755" w:rsidP="00BA217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39" w:type="pct"/>
          </w:tcPr>
          <w:p w14:paraId="5D97B1F1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B2020-DHH-15. </w:t>
            </w:r>
            <w:r w:rsidRPr="0068550A">
              <w:rPr>
                <w:rFonts w:cs="Times New Roman"/>
                <w:sz w:val="22"/>
              </w:rPr>
              <w:t xml:space="preserve">Nghiên cứu chế tạo, hoạt tính sinh học và ứng dụng của một số  vật liệu mới dạng màng nanocollagen </w:t>
            </w:r>
            <w:r w:rsidRPr="0068550A">
              <w:rPr>
                <w:rFonts w:cs="Times New Roman"/>
                <w:sz w:val="22"/>
                <w:lang w:val="en-US"/>
              </w:rPr>
              <w:t xml:space="preserve">mang nhóm </w:t>
            </w:r>
            <w:r w:rsidRPr="0068550A">
              <w:rPr>
                <w:rFonts w:cs="Times New Roman"/>
                <w:sz w:val="22"/>
              </w:rPr>
              <w:t>chức</w:t>
            </w:r>
            <w:r w:rsidRPr="0068550A">
              <w:rPr>
                <w:rFonts w:cs="Times New Roman"/>
                <w:sz w:val="22"/>
                <w:lang w:val="en-US"/>
              </w:rPr>
              <w:t>,</w:t>
            </w:r>
            <w:r w:rsidRPr="0068550A">
              <w:rPr>
                <w:rFonts w:cs="Times New Roman"/>
                <w:sz w:val="22"/>
              </w:rPr>
              <w:t xml:space="preserve"> chịu nước từ da cá da trơn phế thải</w:t>
            </w:r>
          </w:p>
        </w:tc>
        <w:tc>
          <w:tcPr>
            <w:tcW w:w="829" w:type="pct"/>
          </w:tcPr>
          <w:p w14:paraId="1F925361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PGS.TS. Trần Thi Văn Thi</w:t>
            </w:r>
          </w:p>
          <w:p w14:paraId="4B956822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tranthivanthi@gmail.com</w:t>
            </w:r>
          </w:p>
        </w:tc>
        <w:tc>
          <w:tcPr>
            <w:tcW w:w="323" w:type="pct"/>
            <w:gridSpan w:val="2"/>
          </w:tcPr>
          <w:p w14:paraId="3DC8CD86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Hóa học</w:t>
            </w:r>
          </w:p>
        </w:tc>
        <w:tc>
          <w:tcPr>
            <w:tcW w:w="419" w:type="pct"/>
            <w:gridSpan w:val="2"/>
          </w:tcPr>
          <w:p w14:paraId="6FC33E42" w14:textId="77777777" w:rsidR="004A3755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5B815A1B" w14:textId="76B23335" w:rsidR="003D1CA1" w:rsidRPr="0068550A" w:rsidRDefault="003D1CA1" w:rsidP="00BA217B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17" w:type="pct"/>
          </w:tcPr>
          <w:p w14:paraId="0C6AA224" w14:textId="77777777" w:rsidR="004A3755" w:rsidRPr="001655B6" w:rsidRDefault="004A3755" w:rsidP="001655B6">
            <w:pPr>
              <w:spacing w:before="60"/>
              <w:jc w:val="right"/>
              <w:rPr>
                <w:bCs/>
                <w:sz w:val="22"/>
                <w:lang w:val="en-US"/>
              </w:rPr>
            </w:pPr>
            <w:r w:rsidRPr="001655B6">
              <w:rPr>
                <w:bCs/>
                <w:sz w:val="22"/>
                <w:lang w:val="en-US"/>
              </w:rPr>
              <w:t>670</w:t>
            </w:r>
          </w:p>
        </w:tc>
        <w:tc>
          <w:tcPr>
            <w:tcW w:w="417" w:type="pct"/>
          </w:tcPr>
          <w:p w14:paraId="71DAFADE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15" w:type="pct"/>
          </w:tcPr>
          <w:p w14:paraId="78D714E6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508" w:type="pct"/>
          </w:tcPr>
          <w:p w14:paraId="6E49BE4D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Chương trình 562</w:t>
            </w:r>
          </w:p>
        </w:tc>
        <w:tc>
          <w:tcPr>
            <w:tcW w:w="759" w:type="pct"/>
          </w:tcPr>
          <w:p w14:paraId="1E168ED4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 bài Q2 của danh mục SCIE</w:t>
            </w:r>
          </w:p>
          <w:p w14:paraId="6272226C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 bài trong nước được tính điểm HĐCD GSNN</w:t>
            </w:r>
          </w:p>
          <w:p w14:paraId="4F9F670B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 ThS</w:t>
            </w:r>
          </w:p>
          <w:p w14:paraId="3140FAB9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1 NCS (hỗ trợ)</w:t>
            </w:r>
          </w:p>
          <w:p w14:paraId="24DF4A00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SP ứng dụng: 300 gam vật liệu collagen</w:t>
            </w:r>
          </w:p>
        </w:tc>
      </w:tr>
      <w:tr w:rsidR="004A3755" w:rsidRPr="0068550A" w14:paraId="71AE326D" w14:textId="77777777" w:rsidTr="004A3755">
        <w:tc>
          <w:tcPr>
            <w:tcW w:w="174" w:type="pct"/>
          </w:tcPr>
          <w:p w14:paraId="557D6CC4" w14:textId="77777777" w:rsidR="004A3755" w:rsidRPr="0068550A" w:rsidRDefault="004A3755" w:rsidP="00BA217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39" w:type="pct"/>
          </w:tcPr>
          <w:p w14:paraId="47C27BA3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B2020-DHH-02. </w:t>
            </w:r>
            <w:r w:rsidRPr="0068550A">
              <w:rPr>
                <w:rFonts w:cs="Times New Roman"/>
                <w:sz w:val="22"/>
              </w:rPr>
              <w:t xml:space="preserve">Chính sách đối ngoại của Hoa Kỳ đối với khu vực Đông Nam Á giai đoạn </w:t>
            </w:r>
            <w:r w:rsidRPr="0068550A">
              <w:rPr>
                <w:rFonts w:cs="Times New Roman"/>
                <w:sz w:val="22"/>
                <w:lang w:val="en-US"/>
              </w:rPr>
              <w:t>1991 đến nay</w:t>
            </w:r>
            <w:r w:rsidRPr="0068550A">
              <w:rPr>
                <w:rFonts w:cs="Times New Roman"/>
                <w:sz w:val="22"/>
              </w:rPr>
              <w:t xml:space="preserve"> và gợi ý chính sách cho Việt Nam</w:t>
            </w:r>
          </w:p>
        </w:tc>
        <w:tc>
          <w:tcPr>
            <w:tcW w:w="829" w:type="pct"/>
          </w:tcPr>
          <w:p w14:paraId="0B0DED4A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TS. Dương Quang Hiệp</w:t>
            </w:r>
          </w:p>
          <w:p w14:paraId="3054F7E4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hiepklshue@gmail.com</w:t>
            </w:r>
          </w:p>
        </w:tc>
        <w:tc>
          <w:tcPr>
            <w:tcW w:w="323" w:type="pct"/>
            <w:gridSpan w:val="2"/>
          </w:tcPr>
          <w:p w14:paraId="46B6AEA9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Lịch sử</w:t>
            </w:r>
          </w:p>
        </w:tc>
        <w:tc>
          <w:tcPr>
            <w:tcW w:w="419" w:type="pct"/>
            <w:gridSpan w:val="2"/>
          </w:tcPr>
          <w:p w14:paraId="7FEA600D" w14:textId="77777777" w:rsidR="004A3755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69575226" w14:textId="5D73D95E" w:rsidR="003D1CA1" w:rsidRPr="0068550A" w:rsidRDefault="003D1CA1" w:rsidP="00BA217B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17" w:type="pct"/>
          </w:tcPr>
          <w:p w14:paraId="55F763F4" w14:textId="77777777" w:rsidR="004A3755" w:rsidRPr="001655B6" w:rsidRDefault="004A3755" w:rsidP="001655B6">
            <w:pPr>
              <w:spacing w:before="60"/>
              <w:jc w:val="right"/>
              <w:rPr>
                <w:bCs/>
                <w:sz w:val="22"/>
                <w:lang w:val="en-US"/>
              </w:rPr>
            </w:pPr>
            <w:r w:rsidRPr="001655B6">
              <w:rPr>
                <w:bCs/>
                <w:sz w:val="22"/>
                <w:lang w:val="en-US"/>
              </w:rPr>
              <w:t>200</w:t>
            </w:r>
          </w:p>
        </w:tc>
        <w:tc>
          <w:tcPr>
            <w:tcW w:w="417" w:type="pct"/>
          </w:tcPr>
          <w:p w14:paraId="0EC273EA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15" w:type="pct"/>
          </w:tcPr>
          <w:p w14:paraId="54E59D8A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508" w:type="pct"/>
          </w:tcPr>
          <w:p w14:paraId="07D9A68E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59" w:type="pct"/>
          </w:tcPr>
          <w:p w14:paraId="43D74CE2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bài tạp chí quốc tế</w:t>
            </w:r>
          </w:p>
          <w:p w14:paraId="35AD55E4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trong nước</w:t>
            </w:r>
          </w:p>
          <w:p w14:paraId="55C4D2DC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sách tham khảo</w:t>
            </w:r>
          </w:p>
          <w:p w14:paraId="7ADA2340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thạc sĩ</w:t>
            </w:r>
          </w:p>
          <w:p w14:paraId="1D874C95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+ Sản phẩm ứng dụng</w:t>
            </w:r>
          </w:p>
          <w:p w14:paraId="6A91AD31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Bản đề xuất chính sách cho VN dựa trên chính sách đối ngoại của Hoa Kỳ đối với khu vực Đông Nam Á giai đoạn 1991 đến nay</w:t>
            </w:r>
          </w:p>
        </w:tc>
      </w:tr>
      <w:tr w:rsidR="004A3755" w:rsidRPr="0068550A" w14:paraId="5A114B73" w14:textId="77777777" w:rsidTr="004A3755">
        <w:tc>
          <w:tcPr>
            <w:tcW w:w="174" w:type="pct"/>
          </w:tcPr>
          <w:p w14:paraId="42D16294" w14:textId="77777777" w:rsidR="004A3755" w:rsidRPr="0068550A" w:rsidRDefault="004A3755" w:rsidP="00BA217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39" w:type="pct"/>
          </w:tcPr>
          <w:p w14:paraId="75BF9FA7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B2020-DHH-16. </w:t>
            </w:r>
            <w:r w:rsidRPr="0068550A">
              <w:rPr>
                <w:rFonts w:cs="Times New Roman"/>
                <w:sz w:val="22"/>
              </w:rPr>
              <w:t xml:space="preserve">Nghiên cứu xây dựng quy trình xác định đồng thời các chất trong kiểm nghiệm dược phẩm đa thành phần bằng phương pháp quang phổ hấp thụ phân tử UV-Vis kết hợp chemometrics </w:t>
            </w:r>
          </w:p>
        </w:tc>
        <w:tc>
          <w:tcPr>
            <w:tcW w:w="829" w:type="pct"/>
          </w:tcPr>
          <w:p w14:paraId="535CCC58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PGS.TS. Trần Thúc Bình</w:t>
            </w:r>
          </w:p>
          <w:p w14:paraId="2A181D6B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ttbinh@hueuni.edu.vn</w:t>
            </w:r>
          </w:p>
        </w:tc>
        <w:tc>
          <w:tcPr>
            <w:tcW w:w="323" w:type="pct"/>
            <w:gridSpan w:val="2"/>
          </w:tcPr>
          <w:p w14:paraId="7A2D565A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Hóa học</w:t>
            </w:r>
          </w:p>
        </w:tc>
        <w:tc>
          <w:tcPr>
            <w:tcW w:w="419" w:type="pct"/>
            <w:gridSpan w:val="2"/>
          </w:tcPr>
          <w:p w14:paraId="43FB946C" w14:textId="77777777" w:rsidR="004A3755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3856BBA6" w14:textId="2579DD8F" w:rsidR="003D1CA1" w:rsidRPr="0068550A" w:rsidRDefault="003D1CA1" w:rsidP="00BA217B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17" w:type="pct"/>
          </w:tcPr>
          <w:p w14:paraId="72699A01" w14:textId="77777777" w:rsidR="004A3755" w:rsidRPr="001655B6" w:rsidRDefault="004A3755" w:rsidP="001655B6">
            <w:pPr>
              <w:spacing w:before="60"/>
              <w:jc w:val="right"/>
              <w:rPr>
                <w:bCs/>
                <w:sz w:val="22"/>
                <w:lang w:val="en-US"/>
              </w:rPr>
            </w:pPr>
            <w:r w:rsidRPr="001655B6">
              <w:rPr>
                <w:bCs/>
                <w:sz w:val="22"/>
                <w:lang w:val="en-US"/>
              </w:rPr>
              <w:t>750</w:t>
            </w:r>
          </w:p>
        </w:tc>
        <w:tc>
          <w:tcPr>
            <w:tcW w:w="417" w:type="pct"/>
          </w:tcPr>
          <w:p w14:paraId="58461C3C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15" w:type="pct"/>
          </w:tcPr>
          <w:p w14:paraId="14B61E03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508" w:type="pct"/>
          </w:tcPr>
          <w:p w14:paraId="29AA285E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59" w:type="pct"/>
          </w:tcPr>
          <w:p w14:paraId="7FDB585D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quốc tế thuộc nhóm Q2 của ISI</w:t>
            </w:r>
          </w:p>
          <w:p w14:paraId="1CD9ED29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trong nước</w:t>
            </w:r>
          </w:p>
          <w:p w14:paraId="6F6BFDA8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ThS, hỗ trợ 01 NCS</w:t>
            </w:r>
          </w:p>
          <w:p w14:paraId="1CEF05FA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+ Sản phẩm ứng dụng:</w:t>
            </w:r>
          </w:p>
          <w:p w14:paraId="18C509AF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03 quy trình phân tích xác định đồng thời các chất</w:t>
            </w:r>
          </w:p>
        </w:tc>
      </w:tr>
      <w:tr w:rsidR="004A3755" w:rsidRPr="0068550A" w14:paraId="0B566186" w14:textId="77777777" w:rsidTr="004A3755">
        <w:tc>
          <w:tcPr>
            <w:tcW w:w="174" w:type="pct"/>
          </w:tcPr>
          <w:p w14:paraId="6488628D" w14:textId="77777777" w:rsidR="004A3755" w:rsidRPr="0068550A" w:rsidRDefault="004A3755" w:rsidP="00BA217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39" w:type="pct"/>
          </w:tcPr>
          <w:p w14:paraId="5F39AB04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B2020-DHH-06. </w:t>
            </w:r>
            <w:r w:rsidRPr="0068550A">
              <w:rPr>
                <w:rFonts w:cs="Times New Roman"/>
                <w:sz w:val="22"/>
              </w:rPr>
              <w:t>Các tương tác quang trong chấm lượng tử bán dẫn dạng ellipsoid</w:t>
            </w:r>
          </w:p>
        </w:tc>
        <w:tc>
          <w:tcPr>
            <w:tcW w:w="829" w:type="pct"/>
          </w:tcPr>
          <w:p w14:paraId="42629298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TS. Lê Thị Ngọc Bảo</w:t>
            </w:r>
          </w:p>
          <w:p w14:paraId="5A9E9866" w14:textId="77777777" w:rsidR="004A3755" w:rsidRPr="0068550A" w:rsidRDefault="004A3755" w:rsidP="00BA217B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lethingocbao14@gmail.com</w:t>
            </w:r>
          </w:p>
        </w:tc>
        <w:tc>
          <w:tcPr>
            <w:tcW w:w="323" w:type="pct"/>
            <w:gridSpan w:val="2"/>
          </w:tcPr>
          <w:p w14:paraId="11497054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Vật lý</w:t>
            </w:r>
          </w:p>
        </w:tc>
        <w:tc>
          <w:tcPr>
            <w:tcW w:w="419" w:type="pct"/>
            <w:gridSpan w:val="2"/>
          </w:tcPr>
          <w:p w14:paraId="538D97BD" w14:textId="77777777" w:rsidR="004A3755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4966EFE0" w14:textId="7A030194" w:rsidR="003D1CA1" w:rsidRPr="0068550A" w:rsidRDefault="003D1CA1" w:rsidP="00BA217B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17" w:type="pct"/>
          </w:tcPr>
          <w:p w14:paraId="0D0D4868" w14:textId="77777777" w:rsidR="004A3755" w:rsidRPr="001655B6" w:rsidRDefault="004A3755" w:rsidP="001655B6">
            <w:pPr>
              <w:spacing w:before="60"/>
              <w:jc w:val="right"/>
              <w:rPr>
                <w:bCs/>
                <w:sz w:val="22"/>
                <w:lang w:val="en-US"/>
              </w:rPr>
            </w:pPr>
            <w:r w:rsidRPr="001655B6">
              <w:rPr>
                <w:bCs/>
                <w:sz w:val="22"/>
                <w:lang w:val="en-US"/>
              </w:rPr>
              <w:t>570</w:t>
            </w:r>
          </w:p>
        </w:tc>
        <w:tc>
          <w:tcPr>
            <w:tcW w:w="417" w:type="pct"/>
          </w:tcPr>
          <w:p w14:paraId="519F8410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15" w:type="pct"/>
          </w:tcPr>
          <w:p w14:paraId="6F9A422F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508" w:type="pct"/>
          </w:tcPr>
          <w:p w14:paraId="0BEA0641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Chương trình phát triển Vật lý</w:t>
            </w:r>
          </w:p>
        </w:tc>
        <w:tc>
          <w:tcPr>
            <w:tcW w:w="759" w:type="pct"/>
          </w:tcPr>
          <w:p w14:paraId="2BFEA4C9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quốc tế, thuộc nhóm Q2 của SCIE</w:t>
            </w:r>
          </w:p>
          <w:p w14:paraId="63047D32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trong nước</w:t>
            </w:r>
          </w:p>
          <w:p w14:paraId="3E43E0A0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báo cáo tại HN, HT quốc gia</w:t>
            </w:r>
          </w:p>
          <w:p w14:paraId="4D0D1E76" w14:textId="77777777" w:rsidR="004A3755" w:rsidRPr="0068550A" w:rsidRDefault="004A3755" w:rsidP="00BA217B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NCS, 01 ThS</w:t>
            </w:r>
          </w:p>
        </w:tc>
      </w:tr>
      <w:tr w:rsidR="001655B6" w:rsidRPr="001655B6" w14:paraId="33F45F44" w14:textId="77777777" w:rsidTr="004A3755">
        <w:tc>
          <w:tcPr>
            <w:tcW w:w="174" w:type="pct"/>
          </w:tcPr>
          <w:p w14:paraId="2317EF36" w14:textId="77777777" w:rsidR="001655B6" w:rsidRPr="001655B6" w:rsidRDefault="001655B6" w:rsidP="001655B6">
            <w:pPr>
              <w:pStyle w:val="ListParagraph"/>
              <w:spacing w:before="60"/>
              <w:ind w:left="357"/>
              <w:contextualSpacing w:val="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39" w:type="pct"/>
          </w:tcPr>
          <w:p w14:paraId="6840A2A9" w14:textId="45629002" w:rsidR="001655B6" w:rsidRPr="001655B6" w:rsidRDefault="001655B6" w:rsidP="00BA217B">
            <w:pPr>
              <w:spacing w:before="40" w:after="40" w:line="264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1655B6">
              <w:rPr>
                <w:rFonts w:cs="Times New Roman"/>
                <w:b/>
                <w:bCs/>
                <w:sz w:val="22"/>
                <w:lang w:val="en-US"/>
              </w:rPr>
              <w:t>TỔNG</w:t>
            </w:r>
          </w:p>
        </w:tc>
        <w:tc>
          <w:tcPr>
            <w:tcW w:w="829" w:type="pct"/>
          </w:tcPr>
          <w:p w14:paraId="12AD2881" w14:textId="77777777" w:rsidR="001655B6" w:rsidRPr="001655B6" w:rsidRDefault="001655B6" w:rsidP="00BA217B">
            <w:pPr>
              <w:spacing w:before="40" w:after="40" w:line="264" w:lineRule="auto"/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323" w:type="pct"/>
            <w:gridSpan w:val="2"/>
          </w:tcPr>
          <w:p w14:paraId="17F7A10D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9" w:type="pct"/>
            <w:gridSpan w:val="2"/>
          </w:tcPr>
          <w:p w14:paraId="11EA2E71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7" w:type="pct"/>
          </w:tcPr>
          <w:p w14:paraId="600459CC" w14:textId="7DA558C3" w:rsidR="001655B6" w:rsidRPr="001655B6" w:rsidRDefault="001655B6" w:rsidP="001655B6">
            <w:pPr>
              <w:spacing w:before="60"/>
              <w:jc w:val="right"/>
              <w:rPr>
                <w:b/>
                <w:bCs/>
                <w:sz w:val="22"/>
                <w:lang w:val="en-US"/>
              </w:rPr>
            </w:pPr>
            <w:r w:rsidRPr="001655B6">
              <w:rPr>
                <w:b/>
                <w:bCs/>
                <w:sz w:val="22"/>
                <w:lang w:val="en-US"/>
              </w:rPr>
              <w:t>2190</w:t>
            </w:r>
          </w:p>
        </w:tc>
        <w:tc>
          <w:tcPr>
            <w:tcW w:w="417" w:type="pct"/>
          </w:tcPr>
          <w:p w14:paraId="21F5E285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5" w:type="pct"/>
          </w:tcPr>
          <w:p w14:paraId="70FFC202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08" w:type="pct"/>
          </w:tcPr>
          <w:p w14:paraId="1EC2C1B0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59" w:type="pct"/>
          </w:tcPr>
          <w:p w14:paraId="308D3343" w14:textId="77777777" w:rsidR="001655B6" w:rsidRPr="001655B6" w:rsidRDefault="001655B6" w:rsidP="00BA217B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</w:tr>
    </w:tbl>
    <w:p w14:paraId="62F3A4D7" w14:textId="77777777" w:rsidR="004A3755" w:rsidRPr="00476BB1" w:rsidRDefault="004A3755">
      <w:pPr>
        <w:rPr>
          <w:lang w:val="en-US"/>
        </w:rPr>
      </w:pPr>
    </w:p>
    <w:sectPr w:rsidR="004A3755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034CA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655B6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1CA1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A3755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C28ED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4A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49</cp:revision>
  <dcterms:created xsi:type="dcterms:W3CDTF">2019-04-02T08:34:00Z</dcterms:created>
  <dcterms:modified xsi:type="dcterms:W3CDTF">2021-11-08T03:40:00Z</dcterms:modified>
</cp:coreProperties>
</file>