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4D513354" w:rsidR="00240069" w:rsidRPr="00240069" w:rsidRDefault="00240069" w:rsidP="00240069">
      <w:pPr>
        <w:spacing w:after="120"/>
        <w:jc w:val="center"/>
        <w:rPr>
          <w:b/>
        </w:rPr>
      </w:pPr>
      <w:r w:rsidRPr="00476BB1">
        <w:rPr>
          <w:b/>
        </w:rPr>
        <w:t xml:space="preserve">DANH MỤC ĐỀ TÀI CẤP </w:t>
      </w:r>
      <w:r>
        <w:rPr>
          <w:b/>
        </w:rPr>
        <w:t>TỈNH</w:t>
      </w:r>
      <w:r w:rsidR="00B00B47">
        <w:rPr>
          <w:b/>
        </w:rPr>
        <w:t xml:space="preserve"> ĐĂNG KÝ MỚI TRONG NĂM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577141">
        <w:tc>
          <w:tcPr>
            <w:tcW w:w="197" w:type="pct"/>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196904F5" w14:textId="77777777" w:rsidTr="00577141">
        <w:tc>
          <w:tcPr>
            <w:tcW w:w="197" w:type="pct"/>
          </w:tcPr>
          <w:p w14:paraId="69516339"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6A0089D9" w14:textId="268221A4"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Điều tra thành phần loài và đề xuất giải pháp phòng trù sinh vật ngoại lai xâm hại  tỉnh Quảng Trị</w:t>
            </w:r>
          </w:p>
        </w:tc>
        <w:tc>
          <w:tcPr>
            <w:tcW w:w="859" w:type="pct"/>
            <w:shd w:val="clear" w:color="auto" w:fill="auto"/>
            <w:hideMark/>
          </w:tcPr>
          <w:p w14:paraId="31B5481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Võ Văn Phú</w:t>
            </w:r>
          </w:p>
        </w:tc>
        <w:tc>
          <w:tcPr>
            <w:tcW w:w="332" w:type="pct"/>
            <w:shd w:val="clear" w:color="auto" w:fill="auto"/>
            <w:hideMark/>
          </w:tcPr>
          <w:p w14:paraId="129B5EB1"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234" w:type="pct"/>
            <w:shd w:val="clear" w:color="auto" w:fill="auto"/>
            <w:hideMark/>
          </w:tcPr>
          <w:p w14:paraId="6D8C78F3"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4108FB83"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519" w:type="pct"/>
            <w:shd w:val="clear" w:color="auto" w:fill="auto"/>
            <w:hideMark/>
          </w:tcPr>
          <w:p w14:paraId="10A5A68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144,007</w:t>
            </w:r>
          </w:p>
        </w:tc>
        <w:tc>
          <w:tcPr>
            <w:tcW w:w="427" w:type="pct"/>
            <w:shd w:val="clear" w:color="auto" w:fill="auto"/>
            <w:hideMark/>
          </w:tcPr>
          <w:p w14:paraId="3DF2965C"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20/12/2011</w:t>
            </w:r>
          </w:p>
        </w:tc>
        <w:tc>
          <w:tcPr>
            <w:tcW w:w="427" w:type="pct"/>
            <w:shd w:val="clear" w:color="auto" w:fill="auto"/>
            <w:hideMark/>
          </w:tcPr>
          <w:p w14:paraId="1E7F10E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Tốt</w:t>
            </w:r>
          </w:p>
        </w:tc>
        <w:tc>
          <w:tcPr>
            <w:tcW w:w="422" w:type="pct"/>
            <w:shd w:val="clear" w:color="auto" w:fill="auto"/>
          </w:tcPr>
          <w:p w14:paraId="7FE1EDB4" w14:textId="77777777" w:rsidR="00802660" w:rsidRPr="00802660" w:rsidRDefault="00802660" w:rsidP="00802660">
            <w:pPr>
              <w:spacing w:before="60"/>
              <w:rPr>
                <w:rFonts w:eastAsia="Times New Roman" w:cs="Times New Roman"/>
                <w:color w:val="000000"/>
                <w:sz w:val="22"/>
              </w:rPr>
            </w:pPr>
          </w:p>
        </w:tc>
      </w:tr>
      <w:tr w:rsidR="00802660" w:rsidRPr="00802660" w14:paraId="715F7C85" w14:textId="77777777" w:rsidTr="00577141">
        <w:tc>
          <w:tcPr>
            <w:tcW w:w="197" w:type="pct"/>
          </w:tcPr>
          <w:p w14:paraId="44BF646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6CEFFA80" w14:textId="725868F5"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Điều tra đánh giá hiện trạng môi trường và đề xuất giải pháp khắc phục ô nhiễm vùng nuôi tôm trên cát ven biển tỉnh Quảng Trị</w:t>
            </w:r>
          </w:p>
        </w:tc>
        <w:tc>
          <w:tcPr>
            <w:tcW w:w="859" w:type="pct"/>
            <w:shd w:val="clear" w:color="auto" w:fill="auto"/>
            <w:hideMark/>
          </w:tcPr>
          <w:p w14:paraId="4D69F5FD"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Phạm Khắc Liệu</w:t>
            </w:r>
          </w:p>
        </w:tc>
        <w:tc>
          <w:tcPr>
            <w:tcW w:w="332" w:type="pct"/>
            <w:shd w:val="clear" w:color="auto" w:fill="auto"/>
            <w:hideMark/>
          </w:tcPr>
          <w:p w14:paraId="750EBD8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234" w:type="pct"/>
            <w:shd w:val="clear" w:color="auto" w:fill="auto"/>
            <w:hideMark/>
          </w:tcPr>
          <w:p w14:paraId="518AD7D6"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56871245"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519" w:type="pct"/>
            <w:shd w:val="clear" w:color="auto" w:fill="auto"/>
            <w:hideMark/>
          </w:tcPr>
          <w:p w14:paraId="16D4BFA1"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198,922</w:t>
            </w:r>
          </w:p>
        </w:tc>
        <w:tc>
          <w:tcPr>
            <w:tcW w:w="427" w:type="pct"/>
            <w:shd w:val="clear" w:color="auto" w:fill="auto"/>
            <w:hideMark/>
          </w:tcPr>
          <w:p w14:paraId="7AC83FCD"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427" w:type="pct"/>
            <w:shd w:val="clear" w:color="auto" w:fill="auto"/>
            <w:hideMark/>
          </w:tcPr>
          <w:p w14:paraId="6F44A424"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12/2011</w:t>
            </w:r>
          </w:p>
        </w:tc>
        <w:tc>
          <w:tcPr>
            <w:tcW w:w="422" w:type="pct"/>
            <w:shd w:val="clear" w:color="auto" w:fill="auto"/>
          </w:tcPr>
          <w:p w14:paraId="7C6CB4C2" w14:textId="77777777" w:rsidR="00802660" w:rsidRPr="00802660" w:rsidRDefault="00802660" w:rsidP="00802660">
            <w:pPr>
              <w:spacing w:before="60"/>
              <w:rPr>
                <w:rFonts w:eastAsia="Times New Roman" w:cs="Times New Roman"/>
                <w:color w:val="000000"/>
                <w:sz w:val="22"/>
              </w:rPr>
            </w:pPr>
          </w:p>
        </w:tc>
      </w:tr>
      <w:tr w:rsidR="00802660" w:rsidRPr="00802660" w14:paraId="6E1267A5" w14:textId="77777777" w:rsidTr="00577141">
        <w:tc>
          <w:tcPr>
            <w:tcW w:w="197" w:type="pct"/>
          </w:tcPr>
          <w:p w14:paraId="6C2F597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7738F8DE" w14:textId="7D7AD44C"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Đánh giá ảnh hưởng biến đổi khí hậu đến điều kiện tự nhiên và kinh tế xã hội ven biển tỉnh Quảng Trị</w:t>
            </w:r>
          </w:p>
        </w:tc>
        <w:tc>
          <w:tcPr>
            <w:tcW w:w="859" w:type="pct"/>
            <w:shd w:val="clear" w:color="auto" w:fill="auto"/>
            <w:hideMark/>
          </w:tcPr>
          <w:p w14:paraId="5FB054E8"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Võ Văn Phú</w:t>
            </w:r>
          </w:p>
        </w:tc>
        <w:tc>
          <w:tcPr>
            <w:tcW w:w="332" w:type="pct"/>
            <w:shd w:val="clear" w:color="auto" w:fill="auto"/>
            <w:hideMark/>
          </w:tcPr>
          <w:p w14:paraId="0AB636A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234" w:type="pct"/>
            <w:shd w:val="clear" w:color="auto" w:fill="auto"/>
            <w:hideMark/>
          </w:tcPr>
          <w:p w14:paraId="0B5B6D80"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4D849041"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519" w:type="pct"/>
            <w:shd w:val="clear" w:color="auto" w:fill="auto"/>
            <w:hideMark/>
          </w:tcPr>
          <w:p w14:paraId="719EF5C3"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480</w:t>
            </w:r>
          </w:p>
        </w:tc>
        <w:tc>
          <w:tcPr>
            <w:tcW w:w="427" w:type="pct"/>
            <w:shd w:val="clear" w:color="auto" w:fill="auto"/>
            <w:hideMark/>
          </w:tcPr>
          <w:p w14:paraId="7A47261C" w14:textId="68A6FBB0" w:rsidR="00802660" w:rsidRPr="00802660" w:rsidRDefault="00802660" w:rsidP="009411D1">
            <w:pPr>
              <w:spacing w:before="60"/>
              <w:jc w:val="right"/>
              <w:rPr>
                <w:rFonts w:eastAsia="Times New Roman" w:cs="Times New Roman"/>
                <w:color w:val="000000"/>
                <w:sz w:val="22"/>
              </w:rPr>
            </w:pPr>
            <w:r w:rsidRPr="00802660">
              <w:rPr>
                <w:rFonts w:eastAsia="Times New Roman" w:cs="Times New Roman"/>
                <w:color w:val="000000"/>
                <w:sz w:val="22"/>
              </w:rPr>
              <w:t> </w:t>
            </w:r>
            <w:r w:rsidR="009411D1">
              <w:rPr>
                <w:rFonts w:eastAsia="Times New Roman" w:cs="Times New Roman"/>
                <w:color w:val="000000"/>
                <w:sz w:val="22"/>
              </w:rPr>
              <w:t>2012</w:t>
            </w:r>
          </w:p>
        </w:tc>
        <w:tc>
          <w:tcPr>
            <w:tcW w:w="427" w:type="pct"/>
            <w:shd w:val="clear" w:color="auto" w:fill="auto"/>
            <w:hideMark/>
          </w:tcPr>
          <w:p w14:paraId="168DEC25"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 </w:t>
            </w:r>
          </w:p>
        </w:tc>
        <w:tc>
          <w:tcPr>
            <w:tcW w:w="422" w:type="pct"/>
            <w:shd w:val="clear" w:color="auto" w:fill="auto"/>
            <w:hideMark/>
          </w:tcPr>
          <w:p w14:paraId="7A28109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 </w:t>
            </w:r>
          </w:p>
        </w:tc>
      </w:tr>
      <w:tr w:rsidR="00802660" w:rsidRPr="00802660" w14:paraId="4AEF17E8" w14:textId="77777777" w:rsidTr="00577141">
        <w:tc>
          <w:tcPr>
            <w:tcW w:w="197" w:type="pct"/>
          </w:tcPr>
          <w:p w14:paraId="04589E26"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shd w:val="clear" w:color="auto" w:fill="auto"/>
            <w:hideMark/>
          </w:tcPr>
          <w:p w14:paraId="531F14A9" w14:textId="6F8960EF" w:rsidR="00802660" w:rsidRPr="00802660" w:rsidRDefault="00802660" w:rsidP="00802660">
            <w:pPr>
              <w:spacing w:before="60"/>
              <w:rPr>
                <w:rFonts w:eastAsia="Times New Roman" w:cs="Times New Roman"/>
                <w:sz w:val="22"/>
              </w:rPr>
            </w:pPr>
            <w:r w:rsidRPr="00802660">
              <w:rPr>
                <w:rFonts w:eastAsia="Times New Roman" w:cs="Times New Roman"/>
                <w:sz w:val="22"/>
              </w:rPr>
              <w:t>Điều tra, đánh giá hiện trạng tính ổn định của đường bờ biển tỉnh Quảng Nam và đề xuất giải pháp thích ứng với điều kiện biến đổi khí hậu</w:t>
            </w:r>
          </w:p>
        </w:tc>
        <w:tc>
          <w:tcPr>
            <w:tcW w:w="859" w:type="pct"/>
            <w:shd w:val="clear" w:color="auto" w:fill="auto"/>
            <w:hideMark/>
          </w:tcPr>
          <w:p w14:paraId="6A686AA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Tôn Thất Pháp</w:t>
            </w:r>
          </w:p>
        </w:tc>
        <w:tc>
          <w:tcPr>
            <w:tcW w:w="332" w:type="pct"/>
            <w:shd w:val="clear" w:color="auto" w:fill="auto"/>
            <w:hideMark/>
          </w:tcPr>
          <w:p w14:paraId="42CFE7D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Nam</w:t>
            </w:r>
          </w:p>
        </w:tc>
        <w:tc>
          <w:tcPr>
            <w:tcW w:w="234" w:type="pct"/>
            <w:shd w:val="clear" w:color="auto" w:fill="auto"/>
            <w:hideMark/>
          </w:tcPr>
          <w:p w14:paraId="3CFE5A9B"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2011</w:t>
            </w:r>
          </w:p>
        </w:tc>
        <w:tc>
          <w:tcPr>
            <w:tcW w:w="234" w:type="pct"/>
            <w:shd w:val="clear" w:color="auto" w:fill="auto"/>
            <w:hideMark/>
          </w:tcPr>
          <w:p w14:paraId="04E6BFE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519" w:type="pct"/>
            <w:shd w:val="clear" w:color="auto" w:fill="auto"/>
            <w:hideMark/>
          </w:tcPr>
          <w:p w14:paraId="235DDC3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180</w:t>
            </w:r>
          </w:p>
        </w:tc>
        <w:tc>
          <w:tcPr>
            <w:tcW w:w="427" w:type="pct"/>
            <w:shd w:val="clear" w:color="auto" w:fill="auto"/>
            <w:hideMark/>
          </w:tcPr>
          <w:p w14:paraId="62D5D9C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427" w:type="pct"/>
            <w:shd w:val="clear" w:color="auto" w:fill="auto"/>
            <w:hideMark/>
          </w:tcPr>
          <w:p w14:paraId="4110C98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31/7/2012</w:t>
            </w:r>
          </w:p>
        </w:tc>
        <w:tc>
          <w:tcPr>
            <w:tcW w:w="422" w:type="pct"/>
            <w:shd w:val="clear" w:color="auto" w:fill="auto"/>
          </w:tcPr>
          <w:p w14:paraId="795EF522" w14:textId="77777777" w:rsidR="00802660" w:rsidRPr="00802660" w:rsidRDefault="00802660" w:rsidP="00802660">
            <w:pPr>
              <w:spacing w:before="60"/>
              <w:rPr>
                <w:rFonts w:eastAsia="Times New Roman" w:cs="Times New Roman"/>
                <w:sz w:val="22"/>
              </w:rPr>
            </w:pPr>
          </w:p>
        </w:tc>
      </w:tr>
      <w:tr w:rsidR="00802660" w:rsidRPr="00802660" w14:paraId="583D600C" w14:textId="77777777" w:rsidTr="00577141">
        <w:tc>
          <w:tcPr>
            <w:tcW w:w="197" w:type="pct"/>
          </w:tcPr>
          <w:p w14:paraId="641559CB"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5174F12D" w14:textId="56B7CBE1"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chế tạo chitossan oligosaccharides (COS) phục vụ chăn nuôi gà ở tỉnh TTH (TTH.2011-KC.05)</w:t>
            </w:r>
          </w:p>
        </w:tc>
        <w:tc>
          <w:tcPr>
            <w:tcW w:w="859" w:type="pct"/>
            <w:shd w:val="clear" w:color="auto" w:fill="auto"/>
            <w:hideMark/>
          </w:tcPr>
          <w:p w14:paraId="0E5539A5"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Trần Thái Hòa</w:t>
            </w:r>
          </w:p>
        </w:tc>
        <w:tc>
          <w:tcPr>
            <w:tcW w:w="332" w:type="pct"/>
            <w:shd w:val="clear" w:color="auto" w:fill="auto"/>
            <w:hideMark/>
          </w:tcPr>
          <w:p w14:paraId="769130CD"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TT Huế</w:t>
            </w:r>
          </w:p>
        </w:tc>
        <w:tc>
          <w:tcPr>
            <w:tcW w:w="234" w:type="pct"/>
            <w:shd w:val="clear" w:color="auto" w:fill="auto"/>
            <w:hideMark/>
          </w:tcPr>
          <w:p w14:paraId="3B0A1BB7"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0DD5FD0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519" w:type="pct"/>
            <w:shd w:val="clear" w:color="auto" w:fill="auto"/>
            <w:hideMark/>
          </w:tcPr>
          <w:p w14:paraId="6559665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640</w:t>
            </w:r>
          </w:p>
        </w:tc>
        <w:tc>
          <w:tcPr>
            <w:tcW w:w="427" w:type="pct"/>
            <w:shd w:val="clear" w:color="auto" w:fill="auto"/>
            <w:hideMark/>
          </w:tcPr>
          <w:p w14:paraId="31B8CFAF"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3/3/2014</w:t>
            </w:r>
          </w:p>
        </w:tc>
        <w:tc>
          <w:tcPr>
            <w:tcW w:w="427" w:type="pct"/>
            <w:shd w:val="clear" w:color="auto" w:fill="auto"/>
            <w:hideMark/>
          </w:tcPr>
          <w:p w14:paraId="1A043482"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 </w:t>
            </w:r>
          </w:p>
        </w:tc>
        <w:tc>
          <w:tcPr>
            <w:tcW w:w="422" w:type="pct"/>
            <w:shd w:val="clear" w:color="auto" w:fill="auto"/>
            <w:hideMark/>
          </w:tcPr>
          <w:p w14:paraId="1C648B36" w14:textId="77777777" w:rsidR="00802660" w:rsidRPr="00802660" w:rsidRDefault="00802660" w:rsidP="00802660">
            <w:pPr>
              <w:spacing w:before="60"/>
              <w:rPr>
                <w:rFonts w:eastAsia="Times New Roman" w:cs="Times New Roman"/>
                <w:color w:val="000000"/>
                <w:sz w:val="22"/>
              </w:rPr>
            </w:pPr>
          </w:p>
        </w:tc>
      </w:tr>
      <w:tr w:rsidR="00802660" w:rsidRPr="00802660" w14:paraId="6E63D725" w14:textId="77777777" w:rsidTr="00577141">
        <w:tc>
          <w:tcPr>
            <w:tcW w:w="197" w:type="pct"/>
          </w:tcPr>
          <w:p w14:paraId="254EF5A1"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459A8680" w14:textId="22229F8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ứng dụng bộ mô hình Mike dự báo theo thời gian thực biến đổi của chế độ thủy văn và môi trường nước phục vụ cho phát triển bền vững KT-XH vùng đầm phá Tam Giang Cầu Hai</w:t>
            </w:r>
          </w:p>
        </w:tc>
        <w:tc>
          <w:tcPr>
            <w:tcW w:w="859" w:type="pct"/>
            <w:shd w:val="clear" w:color="auto" w:fill="auto"/>
            <w:hideMark/>
          </w:tcPr>
          <w:p w14:paraId="5426A3A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Trần Hữu Tuyên</w:t>
            </w:r>
          </w:p>
        </w:tc>
        <w:tc>
          <w:tcPr>
            <w:tcW w:w="332" w:type="pct"/>
            <w:shd w:val="clear" w:color="auto" w:fill="auto"/>
            <w:hideMark/>
          </w:tcPr>
          <w:p w14:paraId="6962397A"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TT Huế</w:t>
            </w:r>
          </w:p>
        </w:tc>
        <w:tc>
          <w:tcPr>
            <w:tcW w:w="234" w:type="pct"/>
            <w:shd w:val="clear" w:color="auto" w:fill="auto"/>
            <w:hideMark/>
          </w:tcPr>
          <w:p w14:paraId="7843F367"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61DDC0CF"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519" w:type="pct"/>
            <w:shd w:val="clear" w:color="auto" w:fill="auto"/>
            <w:hideMark/>
          </w:tcPr>
          <w:p w14:paraId="133AB1EC" w14:textId="1FBB8E78"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692</w:t>
            </w:r>
          </w:p>
        </w:tc>
        <w:tc>
          <w:tcPr>
            <w:tcW w:w="427" w:type="pct"/>
            <w:shd w:val="clear" w:color="auto" w:fill="auto"/>
            <w:hideMark/>
          </w:tcPr>
          <w:p w14:paraId="4DC873B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02/10/2014</w:t>
            </w:r>
          </w:p>
        </w:tc>
        <w:tc>
          <w:tcPr>
            <w:tcW w:w="427" w:type="pct"/>
            <w:shd w:val="clear" w:color="auto" w:fill="auto"/>
            <w:hideMark/>
          </w:tcPr>
          <w:p w14:paraId="1E0C0A2D"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 </w:t>
            </w:r>
          </w:p>
        </w:tc>
        <w:tc>
          <w:tcPr>
            <w:tcW w:w="422" w:type="pct"/>
            <w:shd w:val="clear" w:color="auto" w:fill="auto"/>
            <w:hideMark/>
          </w:tcPr>
          <w:p w14:paraId="1EE265B0" w14:textId="77777777" w:rsidR="00802660" w:rsidRPr="00802660" w:rsidRDefault="00802660" w:rsidP="00802660">
            <w:pPr>
              <w:spacing w:before="60"/>
              <w:rPr>
                <w:rFonts w:eastAsia="Times New Roman" w:cs="Times New Roman"/>
                <w:color w:val="000000"/>
                <w:sz w:val="22"/>
              </w:rPr>
            </w:pPr>
          </w:p>
        </w:tc>
      </w:tr>
      <w:tr w:rsidR="00802660" w:rsidRPr="00802660" w14:paraId="3D540358" w14:textId="77777777" w:rsidTr="00577141">
        <w:tc>
          <w:tcPr>
            <w:tcW w:w="197" w:type="pct"/>
          </w:tcPr>
          <w:p w14:paraId="54EE1DE9"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shd w:val="clear" w:color="auto" w:fill="auto"/>
            <w:hideMark/>
          </w:tcPr>
          <w:p w14:paraId="074187DA" w14:textId="6131F76E"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dự báo, đề xuất giải pháp phòng chống hiện tượng xói lở, bồi lấp vùng trung- hạ lưu sông Gianh và Nhật Lệ phục vụ phát triển bền vững lãnh thổ nghiên cứu</w:t>
            </w:r>
          </w:p>
        </w:tc>
        <w:tc>
          <w:tcPr>
            <w:tcW w:w="859" w:type="pct"/>
            <w:shd w:val="clear" w:color="auto" w:fill="auto"/>
            <w:hideMark/>
          </w:tcPr>
          <w:p w14:paraId="78056EC3"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Đỗ Quang Thiên</w:t>
            </w:r>
          </w:p>
        </w:tc>
        <w:tc>
          <w:tcPr>
            <w:tcW w:w="332" w:type="pct"/>
            <w:shd w:val="clear" w:color="auto" w:fill="auto"/>
            <w:hideMark/>
          </w:tcPr>
          <w:p w14:paraId="0377345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Bình</w:t>
            </w:r>
          </w:p>
        </w:tc>
        <w:tc>
          <w:tcPr>
            <w:tcW w:w="234" w:type="pct"/>
            <w:shd w:val="clear" w:color="auto" w:fill="auto"/>
            <w:hideMark/>
          </w:tcPr>
          <w:p w14:paraId="0F20A1A4"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2011</w:t>
            </w:r>
          </w:p>
        </w:tc>
        <w:tc>
          <w:tcPr>
            <w:tcW w:w="234" w:type="pct"/>
            <w:shd w:val="clear" w:color="auto" w:fill="auto"/>
            <w:hideMark/>
          </w:tcPr>
          <w:p w14:paraId="71E5B97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519" w:type="pct"/>
            <w:shd w:val="clear" w:color="auto" w:fill="auto"/>
            <w:hideMark/>
          </w:tcPr>
          <w:p w14:paraId="1509D0FF" w14:textId="6C98E392"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425</w:t>
            </w:r>
            <w:r>
              <w:rPr>
                <w:rFonts w:eastAsia="Times New Roman" w:cs="Times New Roman"/>
                <w:color w:val="000000"/>
                <w:sz w:val="22"/>
              </w:rPr>
              <w:t>,</w:t>
            </w:r>
            <w:r w:rsidRPr="00802660">
              <w:rPr>
                <w:rFonts w:eastAsia="Times New Roman" w:cs="Times New Roman"/>
                <w:color w:val="000000"/>
                <w:sz w:val="22"/>
              </w:rPr>
              <w:t>385</w:t>
            </w:r>
          </w:p>
        </w:tc>
        <w:tc>
          <w:tcPr>
            <w:tcW w:w="427" w:type="pct"/>
            <w:shd w:val="clear" w:color="auto" w:fill="auto"/>
            <w:hideMark/>
          </w:tcPr>
          <w:p w14:paraId="34A37F5C"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20/11/2013</w:t>
            </w:r>
          </w:p>
        </w:tc>
        <w:tc>
          <w:tcPr>
            <w:tcW w:w="427" w:type="pct"/>
            <w:shd w:val="clear" w:color="auto" w:fill="auto"/>
            <w:hideMark/>
          </w:tcPr>
          <w:p w14:paraId="7F59B32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 </w:t>
            </w:r>
          </w:p>
        </w:tc>
        <w:tc>
          <w:tcPr>
            <w:tcW w:w="422" w:type="pct"/>
            <w:shd w:val="clear" w:color="auto" w:fill="auto"/>
            <w:hideMark/>
          </w:tcPr>
          <w:p w14:paraId="3A0A6F13" w14:textId="77777777" w:rsidR="00802660" w:rsidRPr="00802660" w:rsidRDefault="00802660" w:rsidP="00802660">
            <w:pPr>
              <w:spacing w:before="60"/>
              <w:rPr>
                <w:rFonts w:eastAsia="Times New Roman" w:cs="Times New Roman"/>
                <w:color w:val="000000"/>
                <w:sz w:val="22"/>
              </w:rPr>
            </w:pPr>
          </w:p>
        </w:tc>
      </w:tr>
      <w:tr w:rsidR="00577141" w:rsidRPr="00577141" w14:paraId="22E4D85D" w14:textId="77777777" w:rsidTr="00577141">
        <w:tc>
          <w:tcPr>
            <w:tcW w:w="197" w:type="pct"/>
          </w:tcPr>
          <w:p w14:paraId="00512395" w14:textId="77777777" w:rsidR="00577141" w:rsidRPr="00577141" w:rsidRDefault="00577141" w:rsidP="00577141">
            <w:pPr>
              <w:pStyle w:val="ListParagraph"/>
              <w:spacing w:before="60"/>
              <w:ind w:left="470"/>
              <w:contextualSpacing w:val="0"/>
              <w:rPr>
                <w:rFonts w:eastAsia="Times New Roman" w:cs="Times New Roman"/>
                <w:b/>
                <w:bCs/>
                <w:color w:val="000000"/>
                <w:sz w:val="22"/>
              </w:rPr>
            </w:pPr>
          </w:p>
        </w:tc>
        <w:tc>
          <w:tcPr>
            <w:tcW w:w="1348" w:type="pct"/>
            <w:shd w:val="clear" w:color="auto" w:fill="auto"/>
          </w:tcPr>
          <w:p w14:paraId="43CECB45" w14:textId="6FC1810A" w:rsidR="00577141" w:rsidRPr="00577141" w:rsidRDefault="00577141" w:rsidP="00802660">
            <w:pPr>
              <w:spacing w:before="60"/>
              <w:rPr>
                <w:rFonts w:eastAsia="Times New Roman" w:cs="Times New Roman"/>
                <w:b/>
                <w:bCs/>
                <w:color w:val="000000"/>
                <w:sz w:val="22"/>
              </w:rPr>
            </w:pPr>
            <w:r w:rsidRPr="00577141">
              <w:rPr>
                <w:rFonts w:eastAsia="Times New Roman" w:cs="Times New Roman"/>
                <w:b/>
                <w:bCs/>
                <w:color w:val="000000"/>
                <w:sz w:val="22"/>
              </w:rPr>
              <w:t>TỔNG</w:t>
            </w:r>
          </w:p>
        </w:tc>
        <w:tc>
          <w:tcPr>
            <w:tcW w:w="859" w:type="pct"/>
            <w:shd w:val="clear" w:color="auto" w:fill="auto"/>
          </w:tcPr>
          <w:p w14:paraId="6F58DC20" w14:textId="77777777" w:rsidR="00577141" w:rsidRPr="00577141" w:rsidRDefault="00577141" w:rsidP="00802660">
            <w:pPr>
              <w:spacing w:before="60"/>
              <w:rPr>
                <w:rFonts w:eastAsia="Times New Roman" w:cs="Times New Roman"/>
                <w:b/>
                <w:bCs/>
                <w:color w:val="000000"/>
                <w:sz w:val="22"/>
              </w:rPr>
            </w:pPr>
          </w:p>
        </w:tc>
        <w:tc>
          <w:tcPr>
            <w:tcW w:w="332" w:type="pct"/>
            <w:shd w:val="clear" w:color="auto" w:fill="auto"/>
          </w:tcPr>
          <w:p w14:paraId="3F01997B" w14:textId="77777777" w:rsidR="00577141" w:rsidRPr="00577141" w:rsidRDefault="00577141" w:rsidP="00802660">
            <w:pPr>
              <w:spacing w:before="60"/>
              <w:rPr>
                <w:rFonts w:eastAsia="Times New Roman" w:cs="Times New Roman"/>
                <w:b/>
                <w:bCs/>
                <w:color w:val="000000"/>
                <w:sz w:val="22"/>
              </w:rPr>
            </w:pPr>
          </w:p>
        </w:tc>
        <w:tc>
          <w:tcPr>
            <w:tcW w:w="234" w:type="pct"/>
            <w:shd w:val="clear" w:color="auto" w:fill="auto"/>
          </w:tcPr>
          <w:p w14:paraId="3B69E637" w14:textId="77777777" w:rsidR="00577141" w:rsidRPr="00577141" w:rsidRDefault="00577141" w:rsidP="00802660">
            <w:pPr>
              <w:spacing w:before="60"/>
              <w:jc w:val="right"/>
              <w:rPr>
                <w:rFonts w:eastAsia="Times New Roman" w:cs="Times New Roman"/>
                <w:b/>
                <w:bCs/>
                <w:color w:val="000000"/>
                <w:sz w:val="22"/>
              </w:rPr>
            </w:pPr>
          </w:p>
        </w:tc>
        <w:tc>
          <w:tcPr>
            <w:tcW w:w="234" w:type="pct"/>
            <w:shd w:val="clear" w:color="auto" w:fill="auto"/>
          </w:tcPr>
          <w:p w14:paraId="68B1A059" w14:textId="77777777" w:rsidR="00577141" w:rsidRPr="00577141" w:rsidRDefault="00577141" w:rsidP="00802660">
            <w:pPr>
              <w:spacing w:before="60"/>
              <w:jc w:val="right"/>
              <w:rPr>
                <w:rFonts w:eastAsia="Times New Roman" w:cs="Times New Roman"/>
                <w:b/>
                <w:bCs/>
                <w:color w:val="000000"/>
                <w:sz w:val="22"/>
              </w:rPr>
            </w:pPr>
          </w:p>
        </w:tc>
        <w:tc>
          <w:tcPr>
            <w:tcW w:w="519" w:type="pct"/>
            <w:shd w:val="clear" w:color="auto" w:fill="auto"/>
          </w:tcPr>
          <w:p w14:paraId="01616468" w14:textId="1C1606F9" w:rsidR="00577141" w:rsidRPr="00577141" w:rsidRDefault="00577141" w:rsidP="00802660">
            <w:pPr>
              <w:spacing w:before="60"/>
              <w:jc w:val="right"/>
              <w:rPr>
                <w:rFonts w:eastAsia="Times New Roman" w:cs="Times New Roman"/>
                <w:b/>
                <w:bCs/>
                <w:color w:val="000000"/>
                <w:sz w:val="22"/>
              </w:rPr>
            </w:pPr>
            <w:r w:rsidRPr="00577141">
              <w:rPr>
                <w:rFonts w:eastAsia="Times New Roman" w:cs="Times New Roman"/>
                <w:b/>
                <w:bCs/>
                <w:color w:val="000000"/>
                <w:sz w:val="22"/>
              </w:rPr>
              <w:t>2761</w:t>
            </w:r>
          </w:p>
        </w:tc>
        <w:tc>
          <w:tcPr>
            <w:tcW w:w="427" w:type="pct"/>
            <w:shd w:val="clear" w:color="auto" w:fill="auto"/>
          </w:tcPr>
          <w:p w14:paraId="105596BE" w14:textId="77777777" w:rsidR="00577141" w:rsidRPr="00577141" w:rsidRDefault="00577141" w:rsidP="00802660">
            <w:pPr>
              <w:spacing w:before="60"/>
              <w:rPr>
                <w:rFonts w:eastAsia="Times New Roman" w:cs="Times New Roman"/>
                <w:b/>
                <w:bCs/>
                <w:color w:val="000000"/>
                <w:sz w:val="22"/>
              </w:rPr>
            </w:pPr>
          </w:p>
        </w:tc>
        <w:tc>
          <w:tcPr>
            <w:tcW w:w="427" w:type="pct"/>
            <w:shd w:val="clear" w:color="auto" w:fill="auto"/>
          </w:tcPr>
          <w:p w14:paraId="3E84A9E7" w14:textId="77777777" w:rsidR="00577141" w:rsidRPr="00577141" w:rsidRDefault="00577141" w:rsidP="00802660">
            <w:pPr>
              <w:spacing w:before="60"/>
              <w:rPr>
                <w:rFonts w:eastAsia="Times New Roman" w:cs="Times New Roman"/>
                <w:b/>
                <w:bCs/>
                <w:color w:val="000000"/>
                <w:sz w:val="22"/>
              </w:rPr>
            </w:pPr>
          </w:p>
        </w:tc>
        <w:tc>
          <w:tcPr>
            <w:tcW w:w="422" w:type="pct"/>
            <w:shd w:val="clear" w:color="auto" w:fill="auto"/>
          </w:tcPr>
          <w:p w14:paraId="0276CEB6" w14:textId="77777777" w:rsidR="00577141" w:rsidRPr="00577141" w:rsidRDefault="00577141" w:rsidP="00802660">
            <w:pPr>
              <w:spacing w:before="60"/>
              <w:rPr>
                <w:rFonts w:eastAsia="Times New Roman" w:cs="Times New Roman"/>
                <w:b/>
                <w:bCs/>
                <w:color w:val="000000"/>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40069"/>
    <w:rsid w:val="003D4B97"/>
    <w:rsid w:val="004F641F"/>
    <w:rsid w:val="00577141"/>
    <w:rsid w:val="007176F2"/>
    <w:rsid w:val="00796D45"/>
    <w:rsid w:val="00802660"/>
    <w:rsid w:val="008370FC"/>
    <w:rsid w:val="009411D1"/>
    <w:rsid w:val="00A806A4"/>
    <w:rsid w:val="00B00B47"/>
    <w:rsid w:val="00B04DB7"/>
    <w:rsid w:val="00C94ADA"/>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2021-11-05T09:48:00Z</dcterms:created>
  <dcterms:modified xsi:type="dcterms:W3CDTF">2021-11-08T03:51:00Z</dcterms:modified>
</cp:coreProperties>
</file>