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A8F" w:rsidRPr="007E6A8F" w:rsidRDefault="007E6A8F" w:rsidP="007E6A8F">
      <w:pPr>
        <w:shd w:val="clear" w:color="auto" w:fill="FFFFFF"/>
        <w:spacing w:before="100" w:beforeAutospacing="1" w:after="100" w:afterAutospacing="1" w:line="240" w:lineRule="auto"/>
        <w:jc w:val="center"/>
        <w:rPr>
          <w:rFonts w:ascii="Helvetica" w:eastAsia="Times New Roman" w:hAnsi="Helvetica" w:cs="Helvetica"/>
          <w:b/>
          <w:color w:val="1D2228"/>
          <w:szCs w:val="20"/>
        </w:rPr>
      </w:pPr>
      <w:r w:rsidRPr="007E6A8F">
        <w:rPr>
          <w:rFonts w:ascii="Helvetica" w:eastAsia="Times New Roman" w:hAnsi="Helvetica" w:cs="Helvetica"/>
          <w:b/>
          <w:color w:val="1D2228"/>
          <w:szCs w:val="20"/>
        </w:rPr>
        <w:t>OPPORTUNITIES</w:t>
      </w:r>
      <w:r w:rsidRPr="007E6A8F">
        <w:rPr>
          <w:rFonts w:ascii="Helvetica" w:eastAsia="Times New Roman" w:hAnsi="Helvetica" w:cs="Helvetica"/>
          <w:b/>
          <w:color w:val="1D2228"/>
          <w:szCs w:val="20"/>
        </w:rPr>
        <w:t xml:space="preserve"> TO GET</w:t>
      </w:r>
      <w:r w:rsidRPr="007E6A8F">
        <w:rPr>
          <w:rFonts w:ascii="Helvetica" w:eastAsia="Times New Roman" w:hAnsi="Helvetica" w:cs="Helvetica"/>
          <w:b/>
          <w:color w:val="1D2228"/>
          <w:szCs w:val="20"/>
        </w:rPr>
        <w:t xml:space="preserve"> </w:t>
      </w:r>
      <w:r w:rsidRPr="007E6A8F">
        <w:rPr>
          <w:rFonts w:ascii="Helvetica" w:eastAsia="Times New Roman" w:hAnsi="Helvetica" w:cs="Helvetica"/>
          <w:b/>
          <w:color w:val="1D2228"/>
          <w:szCs w:val="20"/>
        </w:rPr>
        <w:t>SCHOLARSHIPS, GRANTS AND AWARDS</w:t>
      </w:r>
      <w:r w:rsidR="00B33D02">
        <w:rPr>
          <w:rFonts w:ascii="Helvetica" w:eastAsia="Times New Roman" w:hAnsi="Helvetica" w:cs="Helvetica"/>
          <w:b/>
          <w:color w:val="1D2228"/>
          <w:szCs w:val="20"/>
        </w:rPr>
        <w:t xml:space="preserve"> (</w:t>
      </w:r>
      <w:bookmarkStart w:id="0" w:name="_GoBack"/>
      <w:bookmarkEnd w:id="0"/>
      <w:r w:rsidR="00B33D02">
        <w:rPr>
          <w:rFonts w:ascii="Helvetica" w:eastAsia="Times New Roman" w:hAnsi="Helvetica" w:cs="Helvetica"/>
          <w:b/>
          <w:color w:val="1D2228"/>
          <w:szCs w:val="20"/>
        </w:rPr>
        <w:t>SEPTEMBER 2022)</w:t>
      </w:r>
    </w:p>
    <w:tbl>
      <w:tblPr>
        <w:tblW w:w="5000" w:type="pct"/>
        <w:shd w:val="clear" w:color="auto" w:fill="FFFFFF"/>
        <w:tblLayout w:type="fixed"/>
        <w:tblCellMar>
          <w:left w:w="0" w:type="dxa"/>
          <w:right w:w="0" w:type="dxa"/>
        </w:tblCellMar>
        <w:tblLook w:val="04A0" w:firstRow="1" w:lastRow="0" w:firstColumn="1" w:lastColumn="0" w:noHBand="0" w:noVBand="1"/>
      </w:tblPr>
      <w:tblGrid>
        <w:gridCol w:w="589"/>
        <w:gridCol w:w="1811"/>
        <w:gridCol w:w="5671"/>
        <w:gridCol w:w="1984"/>
        <w:gridCol w:w="1275"/>
        <w:gridCol w:w="4072"/>
      </w:tblGrid>
      <w:tr w:rsidR="007E6A8F" w:rsidRPr="007E6A8F" w:rsidTr="007E6A8F">
        <w:trPr>
          <w:tblHeader/>
        </w:trPr>
        <w:tc>
          <w:tcPr>
            <w:tcW w:w="191" w:type="pct"/>
            <w:tcBorders>
              <w:top w:val="single" w:sz="8" w:space="0" w:color="auto"/>
              <w:left w:val="single" w:sz="8" w:space="0" w:color="auto"/>
              <w:bottom w:val="single" w:sz="8" w:space="0" w:color="auto"/>
              <w:right w:val="single" w:sz="8" w:space="0" w:color="auto"/>
            </w:tcBorders>
            <w:shd w:val="clear" w:color="auto" w:fill="375623"/>
            <w:noWrap/>
            <w:tcMar>
              <w:top w:w="0" w:type="dxa"/>
              <w:left w:w="108" w:type="dxa"/>
              <w:bottom w:w="0" w:type="dxa"/>
              <w:right w:w="108" w:type="dxa"/>
            </w:tcMar>
            <w:vAlign w:val="bottom"/>
          </w:tcPr>
          <w:p w:rsidR="007E6A8F" w:rsidRPr="007E6A8F" w:rsidRDefault="007E6A8F" w:rsidP="007E6A8F">
            <w:pPr>
              <w:spacing w:before="100" w:beforeAutospacing="1" w:after="100" w:afterAutospacing="1" w:line="240" w:lineRule="auto"/>
              <w:jc w:val="center"/>
              <w:rPr>
                <w:rFonts w:ascii="Helvetica" w:eastAsia="Times New Roman" w:hAnsi="Helvetica" w:cs="Helvetica"/>
                <w:b/>
                <w:color w:val="FFFFFF" w:themeColor="background1"/>
                <w:sz w:val="20"/>
                <w:szCs w:val="20"/>
              </w:rPr>
            </w:pPr>
            <w:r w:rsidRPr="007E6A8F">
              <w:rPr>
                <w:rFonts w:ascii="Helvetica" w:eastAsia="Times New Roman" w:hAnsi="Helvetica" w:cs="Helvetica"/>
                <w:b/>
                <w:color w:val="FFFFFF" w:themeColor="background1"/>
                <w:sz w:val="20"/>
                <w:szCs w:val="20"/>
              </w:rPr>
              <w:t>No.</w:t>
            </w:r>
          </w:p>
        </w:tc>
        <w:tc>
          <w:tcPr>
            <w:tcW w:w="588" w:type="pct"/>
            <w:tcBorders>
              <w:top w:val="single" w:sz="8" w:space="0" w:color="auto"/>
              <w:left w:val="nil"/>
              <w:bottom w:val="single" w:sz="8" w:space="0" w:color="auto"/>
              <w:right w:val="single" w:sz="8" w:space="0" w:color="auto"/>
            </w:tcBorders>
            <w:shd w:val="clear" w:color="auto" w:fill="375623"/>
            <w:noWrap/>
            <w:tcMar>
              <w:top w:w="0" w:type="dxa"/>
              <w:left w:w="108" w:type="dxa"/>
              <w:bottom w:w="0" w:type="dxa"/>
              <w:right w:w="108" w:type="dxa"/>
            </w:tcMar>
            <w:vAlign w:val="bottom"/>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b/>
                <w:bCs/>
                <w:color w:val="FFFFFF"/>
                <w:sz w:val="20"/>
                <w:szCs w:val="20"/>
              </w:rPr>
              <w:t>Opportunity</w:t>
            </w:r>
          </w:p>
        </w:tc>
        <w:tc>
          <w:tcPr>
            <w:tcW w:w="1841" w:type="pct"/>
            <w:tcBorders>
              <w:top w:val="single" w:sz="8" w:space="0" w:color="auto"/>
              <w:left w:val="nil"/>
              <w:bottom w:val="single" w:sz="8" w:space="0" w:color="auto"/>
              <w:right w:val="single" w:sz="8" w:space="0" w:color="auto"/>
            </w:tcBorders>
            <w:shd w:val="clear" w:color="auto" w:fill="375623"/>
            <w:noWrap/>
            <w:tcMar>
              <w:top w:w="0" w:type="dxa"/>
              <w:left w:w="108" w:type="dxa"/>
              <w:bottom w:w="0" w:type="dxa"/>
              <w:right w:w="108" w:type="dxa"/>
            </w:tcMar>
            <w:vAlign w:val="bottom"/>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b/>
                <w:bCs/>
                <w:color w:val="FFFFFF"/>
                <w:sz w:val="20"/>
                <w:szCs w:val="20"/>
              </w:rPr>
              <w:t>Description</w:t>
            </w:r>
          </w:p>
        </w:tc>
        <w:tc>
          <w:tcPr>
            <w:tcW w:w="644" w:type="pct"/>
            <w:tcBorders>
              <w:top w:val="single" w:sz="8" w:space="0" w:color="auto"/>
              <w:left w:val="nil"/>
              <w:bottom w:val="single" w:sz="8" w:space="0" w:color="auto"/>
              <w:right w:val="single" w:sz="8" w:space="0" w:color="auto"/>
            </w:tcBorders>
            <w:shd w:val="clear" w:color="auto" w:fill="375623"/>
            <w:noWrap/>
            <w:tcMar>
              <w:top w:w="0" w:type="dxa"/>
              <w:left w:w="108" w:type="dxa"/>
              <w:bottom w:w="0" w:type="dxa"/>
              <w:right w:w="108" w:type="dxa"/>
            </w:tcMar>
            <w:vAlign w:val="bottom"/>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b/>
                <w:bCs/>
                <w:color w:val="FFFFFF"/>
                <w:sz w:val="20"/>
                <w:szCs w:val="20"/>
              </w:rPr>
              <w:t>Funder/Organiser</w:t>
            </w:r>
          </w:p>
        </w:tc>
        <w:tc>
          <w:tcPr>
            <w:tcW w:w="414" w:type="pct"/>
            <w:tcBorders>
              <w:top w:val="single" w:sz="8" w:space="0" w:color="auto"/>
              <w:left w:val="nil"/>
              <w:bottom w:val="single" w:sz="8" w:space="0" w:color="auto"/>
              <w:right w:val="single" w:sz="8" w:space="0" w:color="auto"/>
            </w:tcBorders>
            <w:shd w:val="clear" w:color="auto" w:fill="375623"/>
            <w:noWrap/>
            <w:tcMar>
              <w:top w:w="0" w:type="dxa"/>
              <w:left w:w="108" w:type="dxa"/>
              <w:bottom w:w="0" w:type="dxa"/>
              <w:right w:w="108" w:type="dxa"/>
            </w:tcMar>
            <w:vAlign w:val="bottom"/>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b/>
                <w:bCs/>
                <w:color w:val="FFFFFF"/>
                <w:sz w:val="20"/>
                <w:szCs w:val="20"/>
              </w:rPr>
              <w:t>Deadline</w:t>
            </w:r>
          </w:p>
        </w:tc>
        <w:tc>
          <w:tcPr>
            <w:tcW w:w="1322" w:type="pct"/>
            <w:tcBorders>
              <w:top w:val="single" w:sz="8" w:space="0" w:color="auto"/>
              <w:left w:val="nil"/>
              <w:bottom w:val="single" w:sz="8" w:space="0" w:color="auto"/>
              <w:right w:val="single" w:sz="8" w:space="0" w:color="auto"/>
            </w:tcBorders>
            <w:shd w:val="clear" w:color="auto" w:fill="375623"/>
            <w:noWrap/>
            <w:tcMar>
              <w:top w:w="0" w:type="dxa"/>
              <w:left w:w="108" w:type="dxa"/>
              <w:bottom w:w="0" w:type="dxa"/>
              <w:right w:w="108" w:type="dxa"/>
            </w:tcMar>
            <w:vAlign w:val="bottom"/>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b/>
                <w:bCs/>
                <w:color w:val="FFFFFF"/>
                <w:sz w:val="20"/>
                <w:szCs w:val="20"/>
              </w:rPr>
              <w:t>Links</w:t>
            </w:r>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Conservation in the Indo-Burma Biodiversity Hotspot</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Critical Ecosystem Partnership Fund (CEPF) invites letters of inquiry (LOI) to empower local communities to engage in conservation and management of key biodiversity areas of Cambodia, China, Lao PDR, Myanmar, Thailand, and Vietnam. CEPF intends to make small grants of US$40 thousand and large grants of up to US$200 thousand. The call is open to NGOs, community groups, Indigenous People’s organizations, women’s groups, private companies and other civil society organizations. Applications can be submitted in English, French, Portuguese or Spanish. The deadline for receiving applications is 26 September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Critical Ecosystem Partnership Fund (CEPF)</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26-Sep-22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5" w:tgtFrame="_blank" w:history="1">
              <w:r w:rsidRPr="007E6A8F">
                <w:rPr>
                  <w:rFonts w:ascii="Helvetica" w:eastAsia="Times New Roman" w:hAnsi="Helvetica" w:cs="Helvetica"/>
                  <w:color w:val="0563C1"/>
                  <w:sz w:val="20"/>
                  <w:szCs w:val="20"/>
                  <w:u w:val="single"/>
                </w:rPr>
                <w:t>https://www.cepf.net/grants/open-calls-for-proposals/2022-indo-burma-loi-large-small</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Indigenous Peoples Assistance Facility 2022</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Indigenous Peoples Assistance Facility aims to strengthen indigenous peoples' communities and their organizations by financing small projects which foster their self-driven development in the framework of the UN Declaration on the Rights of Indigenous Peoples. Focus is climate change adaptation, resilience and biodiversity in/for indigenous peoples’ communities to improve indigenous livelihoods. Proposed project budget requests should range between US$20 thousand and US$70 thousand, and include a minimum contribution by the grant recipient of 20% (cash or in-kind) of the total request. The deadline for applications is 27 September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International Fund for Agricultural Development (IFAD)</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27-Sep-22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6" w:tgtFrame="_blank" w:history="1">
              <w:r w:rsidRPr="007E6A8F">
                <w:rPr>
                  <w:rFonts w:ascii="Helvetica" w:eastAsia="Times New Roman" w:hAnsi="Helvetica" w:cs="Helvetica"/>
                  <w:color w:val="0563C1"/>
                  <w:sz w:val="20"/>
                  <w:szCs w:val="20"/>
                  <w:u w:val="single"/>
                </w:rPr>
                <w:t>https://www.ifad.org/en/web/latest/-/call-for-proposals-indigenous-people-s-assistance-facility-ipaf-</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DAAD scholarship for the Master program in Water technology, reuse and management, Vietnamese German University, Vietnam.</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 xml:space="preserve">Master Program in Water Technology, Reuse and Management at Vietnamese-German University has been started its first intake in 2020. This is the international program under the collaboration with Technical University of Darmstadt, Germany. The program focus on the trainning and research in water and wastewater technology, hydraulic engineering and climate change. All lectures are conducted in English languague. 80% of lecturers are Professors from Department of Civil and Environmental Engineering at TU Darmstadt, Germany. After graduation, students will receive the double degree from Technical University of Darmstadt, Germany and Vietnamese German University. The lectures will be hold in VGU Ho Chi Minh city campus (10 Hoang Dieu street, Phu Nhuan district). After graduation, students will have enough capability and knowledge in the field of Water Technology, Water Reuse, Water Resources Management with international levels adapted in industry and acadamia.  It </w:t>
            </w:r>
            <w:r w:rsidRPr="007E6A8F">
              <w:rPr>
                <w:rFonts w:ascii="Helvetica" w:eastAsia="Times New Roman" w:hAnsi="Helvetica" w:cs="Helvetica"/>
                <w:color w:val="000000"/>
                <w:sz w:val="20"/>
                <w:szCs w:val="20"/>
              </w:rPr>
              <w:lastRenderedPageBreak/>
              <w:t>is expected that 100% of graduated students will get a job or go to PhD after completing the master course. 100% students will receive the DAAD scholarships to study in Germany in the 2nd year.</w:t>
            </w:r>
            <w:r w:rsidRPr="007E6A8F">
              <w:rPr>
                <w:rFonts w:ascii="Helvetica" w:eastAsia="Times New Roman" w:hAnsi="Helvetica" w:cs="Helvetica"/>
                <w:color w:val="000000"/>
                <w:sz w:val="20"/>
                <w:szCs w:val="20"/>
              </w:rPr>
              <w:br/>
              <w:t>The deadline for submission document is September 30th,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lastRenderedPageBreak/>
              <w:t>DAAD</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30-Sep-22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7" w:tgtFrame="_blank" w:history="1">
              <w:r w:rsidRPr="007E6A8F">
                <w:rPr>
                  <w:rFonts w:ascii="Helvetica" w:eastAsia="Times New Roman" w:hAnsi="Helvetica" w:cs="Helvetica"/>
                  <w:color w:val="0563C1"/>
                  <w:sz w:val="20"/>
                  <w:szCs w:val="20"/>
                  <w:u w:val="single"/>
                </w:rPr>
                <w:t>https://vgu.edu.vn/study-programs/master/wt</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UNU-WIDER PhD Internships in Economics</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UNU-WIDER (World Institute for Development Economics Research) invites applications for its PhD research internships program in Helsinki, Finland. Preference is for applicants who live or work in developing countries, and who are in the later stages of their PhD. Program themes in WIDER include the economics of energy, climate change, food security, and others. UNU-WIDER provides a travel grant and a monthly stipend of €1,850 during the period of the fellowship. Deadlines for submission of applications are 31 March and 30 September each year.</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United Nations University</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30-Sep-22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8" w:tgtFrame="_blank" w:history="1">
              <w:r w:rsidRPr="007E6A8F">
                <w:rPr>
                  <w:rFonts w:ascii="Helvetica" w:eastAsia="Times New Roman" w:hAnsi="Helvetica" w:cs="Helvetica"/>
                  <w:color w:val="0563C1"/>
                  <w:sz w:val="20"/>
                  <w:szCs w:val="20"/>
                  <w:u w:val="single"/>
                </w:rPr>
                <w:t>https://www.wider.unu.edu/phdfellows</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Cultivating the Humanities and Social Sciences (CHSS) Research Grants for scholars from South and Southeast Asia</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Association for Asian Studies invites applications from low- and lower middle-income countries of Southeast Asia (e.g., Cambodia, Lao PDR, Myanmar, Timor-Leste, Indonesia, the Philippines, Thailand, and Vietnam) as well as from less economically advantaged countries and areas of South Asia (e.g., Afghanistan, Bangladesh, Bhutan, Pakistan, Nepal, Sri Lanka, and India).  When evaluating proposals from Indonesia, the Philippines, Thailand, Vietnam, and India, the review committee will prioritize applicants who come from regions and/or institutions with resource and infrastructure constraints. We also encourage collaborative projects, especially those that partner scholars from under-resourced institutions with colleagues at institutions that offer more resources and infrastructure to support their work.</w:t>
            </w:r>
            <w:r w:rsidRPr="007E6A8F">
              <w:rPr>
                <w:rFonts w:ascii="Helvetica" w:eastAsia="Times New Roman" w:hAnsi="Helvetica" w:cs="Helvetica"/>
                <w:color w:val="000000"/>
                <w:sz w:val="20"/>
                <w:szCs w:val="20"/>
              </w:rPr>
              <w:br/>
            </w:r>
            <w:r w:rsidRPr="007E6A8F">
              <w:rPr>
                <w:rFonts w:ascii="Helvetica" w:eastAsia="Times New Roman" w:hAnsi="Helvetica" w:cs="Helvetica"/>
                <w:color w:val="000000"/>
                <w:sz w:val="20"/>
                <w:szCs w:val="20"/>
              </w:rPr>
              <w:br/>
              <w:t>Recipients of CHSS grants will be invited to submit a panel proposal at an AAS-in-Asia conference, where they will have the opportunity to share the results of their research projects, participate in skill-building workshops, and discuss publishing prospects with our partners based in Asia, Europe, and the U.S.</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Association for Asian Studies (AAS)</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30-Sep-22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9" w:tgtFrame="_blank" w:history="1">
              <w:r w:rsidRPr="007E6A8F">
                <w:rPr>
                  <w:rFonts w:ascii="Helvetica" w:eastAsia="Times New Roman" w:hAnsi="Helvetica" w:cs="Helvetica"/>
                  <w:color w:val="0563C1"/>
                  <w:sz w:val="20"/>
                  <w:szCs w:val="20"/>
                  <w:u w:val="single"/>
                </w:rPr>
                <w:t>https://www.asianstudies.org/call-for-applications-2022-2023-cultivating-the-humanities-and-social-sciences-research-grants/</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Climate Resilience and Justice</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 xml:space="preserve">Crowd4SDG seeks research projects that address the issues of climate resilience and justice. Participants may submit a project or an idea for a solution that supports individuals and communities’ preparedness for Climate Change. The challenge offers a 5-week online interactive coaching </w:t>
            </w:r>
            <w:r w:rsidRPr="007E6A8F">
              <w:rPr>
                <w:rFonts w:ascii="Helvetica" w:eastAsia="Times New Roman" w:hAnsi="Helvetica" w:cs="Helvetica"/>
                <w:color w:val="000000"/>
                <w:sz w:val="20"/>
                <w:szCs w:val="20"/>
              </w:rPr>
              <w:lastRenderedPageBreak/>
              <w:t>program. The selected applicants will be coached on how to turn an initial idea into a compelling crowdsourcing project. The top two teams will be invited to present their projects to potential UN and NGO partner organizations as well as impact investors. The challenge is open to any individual or team of up to four people anywhere in the world. The deadline is 30 September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lastRenderedPageBreak/>
              <w:t>Crowd4SDG</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30-Sep-22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10" w:tgtFrame="_blank" w:history="1">
              <w:r w:rsidRPr="007E6A8F">
                <w:rPr>
                  <w:rFonts w:ascii="Helvetica" w:eastAsia="Times New Roman" w:hAnsi="Helvetica" w:cs="Helvetica"/>
                  <w:color w:val="0563C1"/>
                  <w:sz w:val="20"/>
                  <w:szCs w:val="20"/>
                  <w:u w:val="single"/>
                </w:rPr>
                <w:t>https://crowd4sdg.eu/about-2/climate-resilience-and-justice-2022/</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Fellowship Program in Freshwater Science</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Leibniz-Institute of Freshwater Ecology and Inland Fisheries (IGB) in Germany invites scientists from all countries and at different career stages to apply for a research visit. The program offers fellowships for PhD students, postdocs, and senior scientists for up to 24 months. The position is intended as an opportunity to join IGB to develop and implement original research ideas in ecology, evolutionary biology, microbiology, Ecohydrology, chemistry, behavioral ecology, genomics, inland fisheries and aquaculture. IGB is determined to increase the proportion of women in science, and particularly encourages female scientists to apply. The next application deadline is 01 October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Leibniz-Institute of Freshwater Ecology and Inland Fisheries (IGB)</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1-Oct-22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11" w:tgtFrame="_blank" w:history="1">
              <w:r w:rsidRPr="007E6A8F">
                <w:rPr>
                  <w:rFonts w:ascii="Helvetica" w:eastAsia="Times New Roman" w:hAnsi="Helvetica" w:cs="Helvetica"/>
                  <w:color w:val="0563C1"/>
                  <w:sz w:val="20"/>
                  <w:szCs w:val="20"/>
                  <w:u w:val="single"/>
                </w:rPr>
                <w:t>https://www.igb-berlin.de/en/high-profile-postdoctoral-positions</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Wilson Center International Fellowship Program</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Woodrow Wilson Center offers a 9-month residential fellowship to scholars, practitioners, journalists and public intellectuals. Fellows conduct research in their areas of interest, while interacting with policymakers in Washington and Wilson Center staff and other scholars in residence. The Center accepts proposals that address key challenges confronting the United States and the world. The Center offers a stipend of US$90 thousand. Fellows are responsible for their own health insurance and travel expenses. The application deadline is 04 October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Woodrow Wilson Center</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4-Oct-22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12" w:tgtFrame="_blank" w:history="1">
              <w:r w:rsidRPr="007E6A8F">
                <w:rPr>
                  <w:rFonts w:ascii="Helvetica" w:eastAsia="Times New Roman" w:hAnsi="Helvetica" w:cs="Helvetica"/>
                  <w:color w:val="0563C1"/>
                  <w:sz w:val="20"/>
                  <w:szCs w:val="20"/>
                  <w:u w:val="single"/>
                </w:rPr>
                <w:t>https://www.wilsoncenter.org/fellowship-application-guidelines</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Collaborative Research Actions (CRAs) on Systems of Sustainable Consumption and Production</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Belmont Forum welcomes transdisciplinary proposals to its collaborative research actions on systems of sustainable consumption and production (SSCP). Proposals to the Belmont Forum must address one of the following four themes: Transdisciplinary Research to help transition to Green Economies; Sustainable and Resilient industries; Social Inequality and Environmental Justice; new Technologies, Policies, and Practices. The Belmont Forum will fund three-year projects. All projects should include 3 funding agencies from 3 different countries. Proposals will be due mid October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Belmont Forum</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10-Oct-22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13" w:anchor="sscp2022" w:tgtFrame="_blank" w:history="1">
              <w:r w:rsidRPr="007E6A8F">
                <w:rPr>
                  <w:rFonts w:ascii="Helvetica" w:eastAsia="Times New Roman" w:hAnsi="Helvetica" w:cs="Helvetica"/>
                  <w:color w:val="0563C1"/>
                  <w:sz w:val="20"/>
                  <w:szCs w:val="20"/>
                  <w:u w:val="single"/>
                </w:rPr>
                <w:t>https://belmontforum.org/cras#sscp2022</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Grants for Early-Career Conservationists</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Conservation Leadership Program (CLP) makes grants to advance the leadership capacity of early-career conservationists in the developing world. Grants combine research with conservation. CLP provides support to small teams of at least three individuals. Future Conservationist Awards are up to US$15 thousand. Follow-Up Awards and Leadership Awards are up to US$25 thousand and US$50 thousand, respectively. CLP explains each category of award; eligibility criteria; and details on how to apply. CLP offers support to early-career conservationists living and working in low- and middle-income economies in Africa, Asia, the Pacific, Latin America and the Caribbean, Eastern and South-eastern Europe and the Middle East. The application deadline is 10 October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Conservation Leadership Program (CLP)</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10-Oct-22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14" w:tgtFrame="_blank" w:history="1">
              <w:r w:rsidRPr="007E6A8F">
                <w:rPr>
                  <w:rFonts w:ascii="Helvetica" w:eastAsia="Times New Roman" w:hAnsi="Helvetica" w:cs="Helvetica"/>
                  <w:color w:val="0563C1"/>
                  <w:sz w:val="20"/>
                  <w:szCs w:val="20"/>
                  <w:u w:val="single"/>
                </w:rPr>
                <w:t>https://www.conservationleadershipprogramme.org/grants/grant-overview/future-conservationist-award/</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Professional Short Courses with Scholarships</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Wageningen Centre for Development Innovation invites participants to apply for new short-term courses. Wageningen University &amp; Research offers a wide range of online courses to support professionals. Courses have different deadlines and locations. Thematic areas include Climate Change, Water Management, Agriculture, Fisheries, Livestock, and many others. Most courses are open to professionals of government departments, NGOs and civil society organizations, businesses, development agencies, universities and colleges for higher education, and individual consultants. Courses are eligible for scholarships through the Orange Knowledge Program. The deadline to apply for courses is 11 October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Wageningen Centre for Development Innovation</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11-Oct-22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15" w:tgtFrame="_blank" w:history="1">
              <w:r w:rsidRPr="007E6A8F">
                <w:rPr>
                  <w:rFonts w:ascii="Helvetica" w:eastAsia="Times New Roman" w:hAnsi="Helvetica" w:cs="Helvetica"/>
                  <w:color w:val="0563C1"/>
                  <w:sz w:val="20"/>
                  <w:szCs w:val="20"/>
                  <w:u w:val="single"/>
                </w:rPr>
                <w:t>https://www.wur.nl/en/Research-Results/Research-Institutes/centre-for-development-innovation/online-learning/Orange-Knowledge-Programme.htm?utm_source=terravivagrants&amp;utm_medium=platform&amp;utm_campaign=wcdi_pe_terraviva</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Senior and Junior Fellowship Programme 2023 Call for Applications</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 xml:space="preserve">The University of Bayreuth Centre of International Excellence “Alexander von Humboldt” promotes excellent research at the University of Bayreuth (UBT) and advances the internationalisation of research and networking with the best universities worldwide. Effective immediately, the Centre is offering "Fellowships for the year 2023" (open to all disciplines). The Centre supports academic exchange across existing boundaries: between disciplines, between different cultures and countries, between established and younger researchers. Furthermore, the Centre engages in activities opening the research community to society and politics. Successful applicants will become Fellows at the Centre and profit from the lively research environment of the university and its seven faculties. Applicants are encouraged to learn about the University of Bayreuth’s focus areas and research </w:t>
            </w:r>
            <w:r w:rsidRPr="007E6A8F">
              <w:rPr>
                <w:rFonts w:ascii="Helvetica" w:eastAsia="Times New Roman" w:hAnsi="Helvetica" w:cs="Helvetica"/>
                <w:color w:val="000000"/>
                <w:sz w:val="20"/>
                <w:szCs w:val="20"/>
              </w:rPr>
              <w:lastRenderedPageBreak/>
              <w:t>strengths. Please submit your complete application via our online form by October 27,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lastRenderedPageBreak/>
              <w:t>University of Bayreuth (UBT), Germany</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27-Oct-22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16" w:tgtFrame="_blank" w:history="1">
              <w:r w:rsidRPr="007E6A8F">
                <w:rPr>
                  <w:rFonts w:ascii="Helvetica" w:eastAsia="Times New Roman" w:hAnsi="Helvetica" w:cs="Helvetica"/>
                  <w:color w:val="0563C1"/>
                  <w:sz w:val="20"/>
                  <w:szCs w:val="20"/>
                  <w:u w:val="single"/>
                </w:rPr>
                <w:t>https://www.humboldt-centre.uni-bayreuth.de/pool/dokumente/Application-Guidelines-Senior-and-Junior-Fellowships.pdf</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The ASEAN-India Research Training Fellowship (AI-RTF)</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ASEAN-India Research Training Fellowship (AI-RTF) aims to promote cooperation in science, technology and innovation through joint research activities in environmental management, climate change adaptation, agricultural technologies, alternative energy, biodiversity, biotechnology, and others. The Fellowship provides ASEAN young researchers with the opportunity to work at an Indian research/academic institution. The duration of the Fellowship will be for a period of 2-6 months. Fellows receive full financial assistance, including international travel, accommodation, meals, and a one-time grant of up to INR 40 thousand for research expenses. The deadline for submitting proposals is 30 October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Government of India</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30-Oct-22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17" w:tgtFrame="_blank" w:history="1">
              <w:r w:rsidRPr="007E6A8F">
                <w:rPr>
                  <w:rFonts w:ascii="Helvetica" w:eastAsia="Times New Roman" w:hAnsi="Helvetica" w:cs="Helvetica"/>
                  <w:color w:val="0563C1"/>
                  <w:sz w:val="20"/>
                  <w:szCs w:val="20"/>
                  <w:u w:val="single"/>
                </w:rPr>
                <w:t>https://aistic.gov.in/ASEAN/aistdfFellowship</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Funding for Women in PhD and Postdoctoral Studies</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Schlumberger Foundation's 'Faculty of the Future' supports women in developing and emerging economies to pursue PhD and postdoctoral studies at the international level. Grants are in the physical sciences, engineering, and related fields -- including past grants in subjects such as ecology and environment. Grants can be up to US$50 thousand per year for PhD courses and a maximum of US$40 thousand for post-doc research programs. The deadline to submit new applications is 11 November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Schlumberger Foundation</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11-Nov-22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18" w:tgtFrame="_blank" w:history="1">
              <w:r w:rsidRPr="007E6A8F">
                <w:rPr>
                  <w:rFonts w:ascii="Helvetica" w:eastAsia="Times New Roman" w:hAnsi="Helvetica" w:cs="Helvetica"/>
                  <w:color w:val="0563C1"/>
                  <w:sz w:val="20"/>
                  <w:szCs w:val="20"/>
                  <w:u w:val="single"/>
                </w:rPr>
                <w:t>https://www.slb.com/-/media/files/about-us/foundation/2023-2024-fftf-call-for-applications.ashx</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Forest Research Grant</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Faculty of Forestry at the University of British Columbia (UBC) offers the Future Forests Fellowship, a research grant to a forestry student to enroll in their PhD program. UBC offers C$70 thousand annually for up to four years. The fellowship is intended to cover all expenses incurred in the preparation and conduct of research. Both domestic and international students are eligible to apply. The deadline for a complete application is 25 November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University of British Columbia (UBC)</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25-Nov-22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19" w:tgtFrame="_blank" w:history="1">
              <w:r w:rsidRPr="007E6A8F">
                <w:rPr>
                  <w:rFonts w:ascii="Helvetica" w:eastAsia="Times New Roman" w:hAnsi="Helvetica" w:cs="Helvetica"/>
                  <w:color w:val="0563C1"/>
                  <w:sz w:val="20"/>
                  <w:szCs w:val="20"/>
                  <w:u w:val="single"/>
                </w:rPr>
                <w:t>https://forestry.ubc.ca/future-forests-fellowship/</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British Academy Visiting Fellowships</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British Academy’s Visiting Fellowships program provides outstanding academics based in any country overseas with the opportunity to be based at a UK higher education or other research institution. Visiting Fellows will work with colleagues at host UK institutions in order to develop new research collaborations and/or deepen existing partnerships. Fellows must be of postdoctoral level or above, or have equivalent research experience. The maximum funding available is £33 thousand. The deadline for applications is 30 November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British Academy</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30-Nov-22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20" w:tgtFrame="_blank" w:history="1">
              <w:r w:rsidRPr="007E6A8F">
                <w:rPr>
                  <w:rFonts w:ascii="Helvetica" w:eastAsia="Times New Roman" w:hAnsi="Helvetica" w:cs="Helvetica"/>
                  <w:color w:val="0563C1"/>
                  <w:sz w:val="20"/>
                  <w:szCs w:val="20"/>
                  <w:u w:val="single"/>
                </w:rPr>
                <w:t>https://www.thebritishacademy.ac.uk/funding/visiting-fellowships/</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East-West Center Graduate Degree Fellowship</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Graduate Degree Fellowship provides funding for graduate students from Asia, the Pacific, and the United States to participate in capacity building and leadership development programs at the East-West Center while pursuing graduate study at the University of Hawai‘i. The fellowship covers the cost of tuition and fees, books, and housing. Eligibility extends to citizens or permanent residents of the United States, Asia, and countries in the Pacific region (including Russia). The application deadline for the 2022-2023 academic year is 01 December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East-West Center</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1-Dec-22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21" w:tgtFrame="_blank" w:history="1">
              <w:r w:rsidRPr="007E6A8F">
                <w:rPr>
                  <w:rFonts w:ascii="Helvetica" w:eastAsia="Times New Roman" w:hAnsi="Helvetica" w:cs="Helvetica"/>
                  <w:color w:val="0563C1"/>
                  <w:sz w:val="20"/>
                  <w:szCs w:val="20"/>
                  <w:u w:val="single"/>
                </w:rPr>
                <w:t>https://www.eastwestcenter.org/education/ewc-graduate-degree-fellowship/gdf-apply-now</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UNU MSc in Geography of Environmental Risks and Human Security</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United Nations University (UNU) and the University of Bonn welcome applicants for the international joint MSc program, “Geography of Environmental Risks and Human Security.” The ideal candidate has a strong interest or experience in human-nature relations and risk governance in the Global South. Women and applicants from developing countries are strongly encouraged to apply. The German Academic Exchange Service (DAAD) offers scholarships to financially support successful applicants from developing countries. The application deadline is 15 December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United Nations University</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15-Dec-22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22" w:anchor="overview" w:tgtFrame="_blank" w:history="1">
              <w:r w:rsidRPr="007E6A8F">
                <w:rPr>
                  <w:rFonts w:ascii="Helvetica" w:eastAsia="Times New Roman" w:hAnsi="Helvetica" w:cs="Helvetica"/>
                  <w:color w:val="0563C1"/>
                  <w:sz w:val="20"/>
                  <w:szCs w:val="20"/>
                  <w:u w:val="single"/>
                </w:rPr>
                <w:t>https://ehs.unu.edu/education/masters/international-joint-msc-programme-geography-of-environmental-risks-and-human-security.html#overview</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UPG Leadership Training Program</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United People Global (UPG) Sustainability Leadership training program offers young leaders from all over the world the opportunity to participate in an immersive 1-week experience on an island in the USA. UPG seeks young people (18-35 years) who want to take positive action that helps the world tackle a sustainability challenge to achieve any of the UN's Sustainable Development Goals (SDGs). 500 young leaders will be selected to participate in an online program and receive a certification after successful completion of the online training. 60 participants will have the chance to attend the complimentary 1-week training in the USA (all costs of the program will be covered). Applications should be received by 31 December 2022 for the Class of 2023.</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United People Global (UPG)</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31-Dec-22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23" w:anchor="apply-now" w:tgtFrame="_blank" w:history="1">
              <w:r w:rsidRPr="007E6A8F">
                <w:rPr>
                  <w:rFonts w:ascii="Helvetica" w:eastAsia="Times New Roman" w:hAnsi="Helvetica" w:cs="Helvetica"/>
                  <w:color w:val="0563C1"/>
                  <w:sz w:val="20"/>
                  <w:szCs w:val="20"/>
                  <w:u w:val="single"/>
                </w:rPr>
                <w:t>https://act.unitedpeople.global/upg-sustainability-leadership#apply-now</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Introductory Biodiversity Course for Journalists</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Earth Journalism Network (EJN) launches an introductory biodiversity course for journalists – “From Microbes to Rainforests”. The online course is self-paced and designed to help journalists reporting on biodiversity to better understand the most pressing issues, from conservation to climate change to synthetic biology. The course is useful to journalists without experience in covering these topics. The course will remain live throughout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Earth Journalism Network (EJN)</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31-Dec-22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24" w:tgtFrame="_blank" w:history="1">
              <w:r w:rsidRPr="007E6A8F">
                <w:rPr>
                  <w:rFonts w:ascii="Helvetica" w:eastAsia="Times New Roman" w:hAnsi="Helvetica" w:cs="Helvetica"/>
                  <w:color w:val="0563C1"/>
                  <w:sz w:val="20"/>
                  <w:szCs w:val="20"/>
                  <w:u w:val="single"/>
                </w:rPr>
                <w:t>https://earthjournalism.net/resources/online-courses/from-microbes-to-rainforests-an-introductory-biodiversity-course-for-journalists</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MDPI Sustainability Travel Awards 2023</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MDPI, a publisher of peer-reviewed, open access journals, grants travel awards to 5 junior scientists. The award provides financial support to attend an international conference in the field of sustainability and sustainable development, to be held in 2023. Candidates must be postdoctoral fellows or PhD students. The winners will each be awarded CHF 600 and a certificate. Applications have to be submitted by 31 December 2022.</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MDPI</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31-Dec-22</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25" w:tgtFrame="_blank" w:history="1">
              <w:r w:rsidRPr="007E6A8F">
                <w:rPr>
                  <w:rFonts w:ascii="Helvetica" w:eastAsia="Times New Roman" w:hAnsi="Helvetica" w:cs="Helvetica"/>
                  <w:color w:val="0563C1"/>
                  <w:sz w:val="20"/>
                  <w:szCs w:val="20"/>
                  <w:u w:val="single"/>
                </w:rPr>
                <w:t>https://www.mdpi.com/journal/sustainability/awards</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University of Oxford Postgraduate Scholarships 2023/2024</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Weidenfeld and Hoffmann Scholarships and Leadership Programme aims to support outstanding postgraduate students from developing and emerging economies for post-graduate studies at the University of Oxford, UK. Relevant areas of study include: Biodiversity Conservation Management, Earth sciences, Environment, International Wildlife Conservation Practice, Water Science, Zoology, and many others. The scholarship will cover 100% of course fees and a grant for living costs (of at least £15 thousand). The closing date for scholarship applications is 20 January 2023, for most courses.</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University of Oxford</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20-Jan-2</w:t>
            </w:r>
            <w:r>
              <w:rPr>
                <w:rFonts w:ascii="Helvetica" w:eastAsia="Times New Roman" w:hAnsi="Helvetica" w:cs="Helvetica"/>
                <w:color w:val="000000"/>
                <w:sz w:val="20"/>
                <w:szCs w:val="20"/>
              </w:rPr>
              <w:t>3</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26" w:tgtFrame="_blank" w:history="1">
              <w:r w:rsidRPr="007E6A8F">
                <w:rPr>
                  <w:rFonts w:ascii="Helvetica" w:eastAsia="Times New Roman" w:hAnsi="Helvetica" w:cs="Helvetica"/>
                  <w:color w:val="0563C1"/>
                  <w:sz w:val="20"/>
                  <w:szCs w:val="20"/>
                  <w:u w:val="single"/>
                </w:rPr>
                <w:t>https://www.ox.ac.uk/admissions/graduate/fees-and-funding/fees-funding-and-scholarship-search/weidenfeld-hoffmann-scholarships-and-leadership-programme</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International Climate Protection Fellowships 2023</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Alexander von Humboldt Foundation offers 15 fellowships for young climate experts from developing countries interested in conducting a project in Germany and pursuing long-term collaboration. The fellowship (up to €2,670 per month) allows future leaders to spend a year in Germany working on a research-based project of their own choice in the field of climate protection. Fellows choose their own hosts. The fellowship includes intensive language training and an orientation program during the introductory phase. The deadline for applications is 01 February 2023.</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Alexander von Humboldt Foundation</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1-Feb-2</w:t>
            </w:r>
            <w:r>
              <w:rPr>
                <w:rFonts w:ascii="Helvetica" w:eastAsia="Times New Roman" w:hAnsi="Helvetica" w:cs="Helvetica"/>
                <w:color w:val="000000"/>
                <w:sz w:val="20"/>
                <w:szCs w:val="20"/>
              </w:rPr>
              <w:t>3</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27" w:tgtFrame="_blank" w:history="1">
              <w:r w:rsidRPr="007E6A8F">
                <w:rPr>
                  <w:rFonts w:ascii="Helvetica" w:eastAsia="Times New Roman" w:hAnsi="Helvetica" w:cs="Helvetica"/>
                  <w:color w:val="0563C1"/>
                  <w:sz w:val="20"/>
                  <w:szCs w:val="20"/>
                  <w:u w:val="single"/>
                </w:rPr>
                <w:t>https://www.humboldt-foundation.de/en/apply/sponsorship-programmes/international-climate-protection-fellowship</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Ghent University PhD Scholarships 2023</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Ghent University grants PhD scholarships to promising students from developing countries who wish to carry out half of their PhD research at Ghent University in Belgium. Before applying each student needs to find a professor from Ghent University who is willing to act as their supervisor. Supported thematic areas include biology, veterinary medicine, agricultural economics, water management, and many others (a complete list of faculties and research topics is provided). The deadline for scholarship applications is 02 February 2023.</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Ghent University (Belgium)</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2-Feb-2</w:t>
            </w:r>
            <w:r>
              <w:rPr>
                <w:rFonts w:ascii="Helvetica" w:eastAsia="Times New Roman" w:hAnsi="Helvetica" w:cs="Helvetica"/>
                <w:color w:val="000000"/>
                <w:sz w:val="20"/>
                <w:szCs w:val="20"/>
              </w:rPr>
              <w:t>3</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28" w:tgtFrame="_blank" w:history="1">
              <w:r w:rsidRPr="007E6A8F">
                <w:rPr>
                  <w:rFonts w:ascii="Helvetica" w:eastAsia="Times New Roman" w:hAnsi="Helvetica" w:cs="Helvetica"/>
                  <w:color w:val="0563C1"/>
                  <w:sz w:val="20"/>
                  <w:szCs w:val="20"/>
                  <w:u w:val="single"/>
                </w:rPr>
                <w:t>https://www.ugent.be/en/research/funding/bof/dos/docos.htm</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MDPI Water Travel Award 2023</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 xml:space="preserve">MDPI, a publisher of peer-reviewed, open access journals, invites applications for the 2023 Water Travel Awards. Three awards of CHF 800 each will go to junior scientists to present </w:t>
            </w:r>
            <w:r w:rsidRPr="007E6A8F">
              <w:rPr>
                <w:rFonts w:ascii="Helvetica" w:eastAsia="Times New Roman" w:hAnsi="Helvetica" w:cs="Helvetica"/>
                <w:color w:val="000000"/>
                <w:sz w:val="20"/>
                <w:szCs w:val="20"/>
              </w:rPr>
              <w:lastRenderedPageBreak/>
              <w:t>an oral presentation and/or poster at an international conference in 2023. Applicants must be postdoctoral researchers or Ph.D. students working in the field of water or related areas. Applications have to be submitted by 28 February 2023.</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lastRenderedPageBreak/>
              <w:t>MDPI</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28-Feb-23</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29" w:tgtFrame="_blank" w:history="1">
              <w:r w:rsidRPr="007E6A8F">
                <w:rPr>
                  <w:rFonts w:ascii="Helvetica" w:eastAsia="Times New Roman" w:hAnsi="Helvetica" w:cs="Helvetica"/>
                  <w:color w:val="0563C1"/>
                  <w:sz w:val="20"/>
                  <w:szCs w:val="20"/>
                  <w:u w:val="single"/>
                </w:rPr>
                <w:t>https://www.mdpi.com/journal/water/awards</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Pulitzer Center Reporting Grants for Journalists</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Pulitzer Center on Crisis Reporting provides grants to individual journalists and news organizations to support in-depth, high-impact reporting on topics of global importance. Awards cover reporting costs. Most awards for international travel are between US$5 thousand and US$10 thousand. In light of the current pandemic, the Pulitzer Center prioritizes COVID-19 projects as well as other projects that can be completed without much traveling or where field work can be completed relatively soon and without risking one's own safety and the safety of others. Grants are open to journalists, writers, photographers, radio producers or filmmakers of any nationality.</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Pulitzer Center on Crisis Reporting</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No deadline</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30" w:tgtFrame="_blank" w:history="1">
              <w:r w:rsidRPr="007E6A8F">
                <w:rPr>
                  <w:rFonts w:ascii="Helvetica" w:eastAsia="Times New Roman" w:hAnsi="Helvetica" w:cs="Helvetica"/>
                  <w:color w:val="0563C1"/>
                  <w:sz w:val="20"/>
                  <w:szCs w:val="20"/>
                  <w:u w:val="single"/>
                </w:rPr>
                <w:t>https://pulitzercenter.org/reporting-grants-fellowships</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ASAP Species Rapid Action Fund</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second phase of the ASAP Species Rapid Action Fund for tackling the extinction crisis in Southeast Asia has been announced. Small grants of up to SGD 13,500 are now available for projects requiring urgent support for unforeseen needs for the conservation of ASAP species. The fund will provide rapid disbursement of small amounts of funds to address urgent requests from the field for conservation actions. Grants can be used in the following ways: </w:t>
            </w:r>
            <w:r w:rsidRPr="007E6A8F">
              <w:rPr>
                <w:rFonts w:ascii="Helvetica" w:eastAsia="Times New Roman" w:hAnsi="Helvetica" w:cs="Helvetica"/>
                <w:color w:val="000000"/>
                <w:sz w:val="20"/>
                <w:szCs w:val="20"/>
              </w:rPr>
              <w:br/>
              <w:t>1. To address unforeseen conservation emergencies where urgent action is needed; and</w:t>
            </w:r>
            <w:r w:rsidRPr="007E6A8F">
              <w:rPr>
                <w:rFonts w:ascii="Helvetica" w:eastAsia="Times New Roman" w:hAnsi="Helvetica" w:cs="Helvetica"/>
                <w:color w:val="000000"/>
                <w:sz w:val="20"/>
                <w:szCs w:val="20"/>
              </w:rPr>
              <w:br/>
              <w:t>2. For activities that are critical for the seamless continuation of current conservation actions. </w:t>
            </w:r>
            <w:r w:rsidRPr="007E6A8F">
              <w:rPr>
                <w:rFonts w:ascii="Helvetica" w:eastAsia="Times New Roman" w:hAnsi="Helvetica" w:cs="Helvetica"/>
                <w:color w:val="000000"/>
                <w:sz w:val="20"/>
                <w:szCs w:val="20"/>
              </w:rPr>
              <w:br/>
              <w:t>Applicant organisations much be ASAP Partners and proposals must focus on ASAP species.  Proposals will be reviewed on a rolling basis throughout the year and applications can be submitted at any time.</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IUCN</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No deadline</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31" w:tgtFrame="_blank" w:history="1">
              <w:r w:rsidRPr="007E6A8F">
                <w:rPr>
                  <w:rFonts w:ascii="Helvetica" w:eastAsia="Times New Roman" w:hAnsi="Helvetica" w:cs="Helvetica"/>
                  <w:color w:val="0563C1"/>
                  <w:sz w:val="20"/>
                  <w:szCs w:val="20"/>
                  <w:u w:val="single"/>
                </w:rPr>
                <w:t>https://www.speciesonthebrink.org/asap-grants/rapid-action-fund/</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FID Grant Program</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 xml:space="preserve">The Fund for Innovation in Development (FID) supports innovation that contributes to reducing global poverty and inequality. FID encourages applications for solutions in education, health, climate change, and gender equality in all low- and middle-income countries. Nearly any type of applicant is eligible to apply, including researchers, governments, NGOs and for-profit companies. FID makes five types of grants: Prepare Grants (up to €50 thousand) can be used to support the development of projects and </w:t>
            </w:r>
            <w:r w:rsidRPr="007E6A8F">
              <w:rPr>
                <w:rFonts w:ascii="Helvetica" w:eastAsia="Times New Roman" w:hAnsi="Helvetica" w:cs="Helvetica"/>
                <w:color w:val="000000"/>
                <w:sz w:val="20"/>
                <w:szCs w:val="20"/>
              </w:rPr>
              <w:lastRenderedPageBreak/>
              <w:t>proposals; Pilot Grants (up to €200 thousand) support the piloting of innovations that are early in development and need real-world testing; Scale Grants (up to €1,5 million) support the further testing and continued growth of innovations; Transition to Scale Grants (up to €4 million) support the transition of rigorously tested and validated solutions to widespread scaling; and Transforming Public Policy Grants (up to €150 thousand) support specific evidence-based innovations with demonstrated cost-effectiveness and scalability into public policies. FID accepts applications at any point throughout the year.</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lastRenderedPageBreak/>
              <w:t>The Fund for Innovation in Development (FID)</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No deadline</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32" w:tgtFrame="_blank" w:history="1">
              <w:r w:rsidRPr="007E6A8F">
                <w:rPr>
                  <w:rFonts w:ascii="Helvetica" w:eastAsia="Times New Roman" w:hAnsi="Helvetica" w:cs="Helvetica"/>
                  <w:color w:val="0563C1"/>
                  <w:sz w:val="20"/>
                  <w:szCs w:val="20"/>
                  <w:u w:val="single"/>
                </w:rPr>
                <w:t>https://fundinnovation.dev/en/application-form-step-0/</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WeObserve Citizen Science Projects Online Course</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WeObserve invites applications to the online course titled “Citizen Science Projects: How to make a difference.” The course covers many topics related to citizen science including the type of citizen science projects available around the world and how to get involved. You’ll find out how to lead a citizen science project. The course is open to anyone, free to do, and accepts applications on a continuous basis with no deadlines.</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WeObserve</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No deadline</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33" w:tgtFrame="_blank" w:history="1">
              <w:r w:rsidRPr="007E6A8F">
                <w:rPr>
                  <w:rFonts w:ascii="Helvetica" w:eastAsia="Times New Roman" w:hAnsi="Helvetica" w:cs="Helvetica"/>
                  <w:color w:val="0563C1"/>
                  <w:sz w:val="20"/>
                  <w:szCs w:val="20"/>
                  <w:u w:val="single"/>
                </w:rPr>
                <w:t>https://www.futurelearn.com/courses/weobserve-the-earth</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Forest Rehabilitation and Management Grant</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The Asia-Pacific Network for Sustainable Forest Management and Rehabilitation (APFNet) provides grants for field demonstration projects which showcase best practices in forest rehabilitation and management in APEC member countries. APFNet-funded projects are aimed at rehabilitating degraded forests and increasing forest cover, promoting sustainable forest management to enhance the ecological function and health of forests, and enhancing the contribution of forests to socio-economic development and local livelihoods. APFNet supports small projects that apply for less than US$10 thousand as well as regular projects with budgets of up to US$500 thousand. The proposed project cannot exceed 36 months in duration. Applications are accepted throughout the year</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Asia-Pacific Network for Sustainable Forest Management and Rehabilitation (APFNet)</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No deadline</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34" w:tgtFrame="_blank" w:history="1">
              <w:r w:rsidRPr="007E6A8F">
                <w:rPr>
                  <w:rFonts w:ascii="Helvetica" w:eastAsia="Times New Roman" w:hAnsi="Helvetica" w:cs="Helvetica"/>
                  <w:color w:val="0563C1"/>
                  <w:sz w:val="20"/>
                  <w:szCs w:val="20"/>
                  <w:u w:val="single"/>
                </w:rPr>
                <w:t>https://www.apfnet.cn/ProjectCollection/</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Free Community Foresty 101 e-learning course</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What is community forestry? What forms does it take? Why do we need to involve local communities in forest management? Is community forestry successful? What are the constraints to realizing the potential of community forestry? This course will answer these questions and more. This course is free. A certificate is available upon completion if you achieve a score of 75 percent or higher in the assessment.</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RECOFT</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No deadline</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35" w:tgtFrame="_blank" w:history="1">
              <w:r w:rsidRPr="007E6A8F">
                <w:rPr>
                  <w:rFonts w:ascii="Helvetica" w:eastAsia="Times New Roman" w:hAnsi="Helvetica" w:cs="Helvetica"/>
                  <w:color w:val="0563C1"/>
                  <w:sz w:val="20"/>
                  <w:szCs w:val="20"/>
                  <w:u w:val="single"/>
                </w:rPr>
                <w:t>https://learning.recoftc.org/courses/course-v1:RECOFTC+CF101+2022/about</w:t>
              </w:r>
            </w:hyperlink>
          </w:p>
        </w:tc>
      </w:tr>
      <w:tr w:rsidR="007E6A8F" w:rsidRPr="007E6A8F" w:rsidTr="007E6A8F">
        <w:tc>
          <w:tcPr>
            <w:tcW w:w="191" w:type="pct"/>
            <w:tcBorders>
              <w:top w:val="nil"/>
              <w:left w:val="single" w:sz="8" w:space="0" w:color="auto"/>
              <w:bottom w:val="single" w:sz="8" w:space="0" w:color="auto"/>
              <w:right w:val="single" w:sz="8" w:space="0" w:color="auto"/>
            </w:tcBorders>
            <w:shd w:val="clear" w:color="auto" w:fill="E2EFDA"/>
            <w:tcMar>
              <w:top w:w="0" w:type="dxa"/>
              <w:left w:w="108" w:type="dxa"/>
              <w:bottom w:w="0" w:type="dxa"/>
              <w:right w:w="108" w:type="dxa"/>
            </w:tcMar>
          </w:tcPr>
          <w:p w:rsidR="007E6A8F" w:rsidRPr="007E6A8F" w:rsidRDefault="007E6A8F" w:rsidP="007E6A8F">
            <w:pPr>
              <w:pStyle w:val="ListParagraph"/>
              <w:numPr>
                <w:ilvl w:val="0"/>
                <w:numId w:val="1"/>
              </w:numPr>
              <w:spacing w:before="100" w:beforeAutospacing="1" w:after="100" w:afterAutospacing="1" w:line="240" w:lineRule="auto"/>
              <w:ind w:left="0" w:firstLine="0"/>
              <w:jc w:val="center"/>
              <w:rPr>
                <w:rFonts w:ascii="Helvetica" w:eastAsia="Times New Roman" w:hAnsi="Helvetica" w:cs="Helvetica"/>
                <w:color w:val="1D2228"/>
                <w:sz w:val="20"/>
                <w:szCs w:val="20"/>
              </w:rPr>
            </w:pPr>
          </w:p>
        </w:tc>
        <w:tc>
          <w:tcPr>
            <w:tcW w:w="588"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b/>
                <w:bCs/>
                <w:color w:val="000000"/>
                <w:sz w:val="20"/>
                <w:szCs w:val="20"/>
              </w:rPr>
              <w:t>Free Policy Analysis and Forest Governance 101 e-learning course</w:t>
            </w:r>
          </w:p>
        </w:tc>
        <w:tc>
          <w:tcPr>
            <w:tcW w:w="1841"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This course introduces the foundations of policy analysis. It will:</w:t>
            </w:r>
            <w:r w:rsidRPr="007E6A8F">
              <w:rPr>
                <w:rFonts w:ascii="Helvetica" w:eastAsia="Times New Roman" w:hAnsi="Helvetica" w:cs="Helvetica"/>
                <w:color w:val="000000"/>
                <w:sz w:val="20"/>
                <w:szCs w:val="20"/>
              </w:rPr>
              <w:br/>
            </w:r>
            <w:r w:rsidRPr="007E6A8F">
              <w:rPr>
                <w:rFonts w:ascii="Helvetica" w:eastAsia="Times New Roman" w:hAnsi="Helvetica" w:cs="Helvetica"/>
                <w:color w:val="000000"/>
                <w:sz w:val="20"/>
                <w:szCs w:val="20"/>
              </w:rPr>
              <w:br/>
              <w:t>- Increase your understanding of how policy analysis can improve forest governance</w:t>
            </w:r>
            <w:r w:rsidRPr="007E6A8F">
              <w:rPr>
                <w:rFonts w:ascii="Helvetica" w:eastAsia="Times New Roman" w:hAnsi="Helvetica" w:cs="Helvetica"/>
                <w:color w:val="000000"/>
                <w:sz w:val="20"/>
                <w:szCs w:val="20"/>
              </w:rPr>
              <w:br/>
              <w:t>- Provide tools for analysing laws</w:t>
            </w:r>
            <w:r w:rsidRPr="007E6A8F">
              <w:rPr>
                <w:rFonts w:ascii="Helvetica" w:eastAsia="Times New Roman" w:hAnsi="Helvetica" w:cs="Helvetica"/>
                <w:color w:val="000000"/>
                <w:sz w:val="20"/>
                <w:szCs w:val="20"/>
              </w:rPr>
              <w:br/>
              <w:t>- Show what civil society’s full and effective participation in a legal reform looks like</w:t>
            </w:r>
            <w:r w:rsidRPr="007E6A8F">
              <w:rPr>
                <w:rFonts w:ascii="Helvetica" w:eastAsia="Times New Roman" w:hAnsi="Helvetica" w:cs="Helvetica"/>
                <w:color w:val="000000"/>
                <w:sz w:val="20"/>
                <w:szCs w:val="20"/>
              </w:rPr>
              <w:br/>
              <w:t>- Discuss how civil society can participate and influence policy and laws through networks and multistakeholder forums</w:t>
            </w:r>
            <w:r w:rsidRPr="007E6A8F">
              <w:rPr>
                <w:rFonts w:ascii="Helvetica" w:eastAsia="Times New Roman" w:hAnsi="Helvetica" w:cs="Helvetica"/>
                <w:color w:val="000000"/>
                <w:sz w:val="20"/>
                <w:szCs w:val="20"/>
              </w:rPr>
              <w:br/>
              <w:t>- Introduce how policy analysis can be used for advocacy</w:t>
            </w:r>
            <w:r w:rsidRPr="007E6A8F">
              <w:rPr>
                <w:rFonts w:ascii="Helvetica" w:eastAsia="Times New Roman" w:hAnsi="Helvetica" w:cs="Helvetica"/>
                <w:color w:val="000000"/>
                <w:sz w:val="20"/>
                <w:szCs w:val="20"/>
              </w:rPr>
              <w:br/>
            </w:r>
            <w:r w:rsidRPr="007E6A8F">
              <w:rPr>
                <w:rFonts w:ascii="Helvetica" w:eastAsia="Times New Roman" w:hAnsi="Helvetica" w:cs="Helvetica"/>
                <w:color w:val="000000"/>
                <w:sz w:val="20"/>
                <w:szCs w:val="20"/>
              </w:rPr>
              <w:br/>
              <w:t>This course is for you if you work in the government, non-government or private forestry sector. It is for those who work with forest communities or advocate for policies and laws to improve forest governance. It can be useful to members of civil society networks or multistakeholder forums who want to participate in forest governance. Examples of a governance process include the European Union's Forest Law Enforcement, Governance and Trade (FLEGT) initiative and the Reducing Emissions from Deforestation and Forest Degradation (REDD+) program of the United Nations. This course is free. A certificate is available upon completion if you achieve a score of 75 percent or higher in the assessment.</w:t>
            </w:r>
          </w:p>
        </w:tc>
        <w:tc>
          <w:tcPr>
            <w:tcW w:w="64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RECOFT</w:t>
            </w:r>
          </w:p>
        </w:tc>
        <w:tc>
          <w:tcPr>
            <w:tcW w:w="414"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jc w:val="center"/>
              <w:rPr>
                <w:rFonts w:ascii="Helvetica" w:eastAsia="Times New Roman" w:hAnsi="Helvetica" w:cs="Helvetica"/>
                <w:color w:val="1D2228"/>
                <w:sz w:val="20"/>
                <w:szCs w:val="20"/>
              </w:rPr>
            </w:pPr>
            <w:r w:rsidRPr="007E6A8F">
              <w:rPr>
                <w:rFonts w:ascii="Helvetica" w:eastAsia="Times New Roman" w:hAnsi="Helvetica" w:cs="Helvetica"/>
                <w:color w:val="000000"/>
                <w:sz w:val="20"/>
                <w:szCs w:val="20"/>
              </w:rPr>
              <w:t>No deadline</w:t>
            </w:r>
          </w:p>
        </w:tc>
        <w:tc>
          <w:tcPr>
            <w:tcW w:w="1322" w:type="pct"/>
            <w:tcBorders>
              <w:top w:val="nil"/>
              <w:left w:val="nil"/>
              <w:bottom w:val="single" w:sz="8" w:space="0" w:color="auto"/>
              <w:right w:val="single" w:sz="8" w:space="0" w:color="auto"/>
            </w:tcBorders>
            <w:shd w:val="clear" w:color="auto" w:fill="E2EFDA"/>
            <w:tcMar>
              <w:top w:w="0" w:type="dxa"/>
              <w:left w:w="108" w:type="dxa"/>
              <w:bottom w:w="0" w:type="dxa"/>
              <w:right w:w="108" w:type="dxa"/>
            </w:tcMar>
            <w:hideMark/>
          </w:tcPr>
          <w:p w:rsidR="007E6A8F" w:rsidRPr="007E6A8F" w:rsidRDefault="007E6A8F" w:rsidP="007E6A8F">
            <w:pPr>
              <w:spacing w:before="100" w:beforeAutospacing="1" w:after="100" w:afterAutospacing="1" w:line="240" w:lineRule="auto"/>
              <w:rPr>
                <w:rFonts w:ascii="Helvetica" w:eastAsia="Times New Roman" w:hAnsi="Helvetica" w:cs="Helvetica"/>
                <w:color w:val="1D2228"/>
                <w:sz w:val="20"/>
                <w:szCs w:val="20"/>
              </w:rPr>
            </w:pPr>
            <w:hyperlink r:id="rId36" w:tgtFrame="_blank" w:history="1">
              <w:r w:rsidRPr="007E6A8F">
                <w:rPr>
                  <w:rFonts w:ascii="Helvetica" w:eastAsia="Times New Roman" w:hAnsi="Helvetica" w:cs="Helvetica"/>
                  <w:color w:val="0563C1"/>
                  <w:sz w:val="20"/>
                  <w:szCs w:val="20"/>
                  <w:u w:val="single"/>
                </w:rPr>
                <w:t>https://learning.recoftc.org/courses/course-v1:RECOFTC+Policyanalysis101+2021/about</w:t>
              </w:r>
            </w:hyperlink>
          </w:p>
        </w:tc>
      </w:tr>
    </w:tbl>
    <w:p w:rsidR="006B2190" w:rsidRDefault="006B2190"/>
    <w:sectPr w:rsidR="006B2190" w:rsidSect="007E6A8F">
      <w:pgSz w:w="16840" w:h="11907" w:orient="landscape" w:code="9"/>
      <w:pgMar w:top="851" w:right="567"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F4529"/>
    <w:multiLevelType w:val="hybridMultilevel"/>
    <w:tmpl w:val="EB70D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A8F"/>
    <w:rsid w:val="00291108"/>
    <w:rsid w:val="00386DA7"/>
    <w:rsid w:val="006B2190"/>
    <w:rsid w:val="007E6A8F"/>
    <w:rsid w:val="00B33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B4C35"/>
  <w15:chartTrackingRefBased/>
  <w15:docId w15:val="{C4AC71DD-53FF-4EFA-8201-CC554ABB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442250721msonormal">
    <w:name w:val="yiv2442250721msonormal"/>
    <w:basedOn w:val="Normal"/>
    <w:rsid w:val="007E6A8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7E6A8F"/>
    <w:rPr>
      <w:color w:val="0000FF"/>
      <w:u w:val="single"/>
    </w:rPr>
  </w:style>
  <w:style w:type="paragraph" w:styleId="ListParagraph">
    <w:name w:val="List Paragraph"/>
    <w:basedOn w:val="Normal"/>
    <w:uiPriority w:val="34"/>
    <w:qFormat/>
    <w:rsid w:val="007E6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95347">
      <w:bodyDiv w:val="1"/>
      <w:marLeft w:val="0"/>
      <w:marRight w:val="0"/>
      <w:marTop w:val="0"/>
      <w:marBottom w:val="0"/>
      <w:divBdr>
        <w:top w:val="none" w:sz="0" w:space="0" w:color="auto"/>
        <w:left w:val="none" w:sz="0" w:space="0" w:color="auto"/>
        <w:bottom w:val="none" w:sz="0" w:space="0" w:color="auto"/>
        <w:right w:val="none" w:sz="0" w:space="0" w:color="auto"/>
      </w:divBdr>
    </w:div>
    <w:div w:id="885482912">
      <w:bodyDiv w:val="1"/>
      <w:marLeft w:val="0"/>
      <w:marRight w:val="0"/>
      <w:marTop w:val="0"/>
      <w:marBottom w:val="0"/>
      <w:divBdr>
        <w:top w:val="none" w:sz="0" w:space="0" w:color="auto"/>
        <w:left w:val="none" w:sz="0" w:space="0" w:color="auto"/>
        <w:bottom w:val="none" w:sz="0" w:space="0" w:color="auto"/>
        <w:right w:val="none" w:sz="0" w:space="0" w:color="auto"/>
      </w:divBdr>
    </w:div>
    <w:div w:id="119650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elmontforum.org/cras" TargetMode="External"/><Relationship Id="rId18" Type="http://schemas.openxmlformats.org/officeDocument/2006/relationships/hyperlink" Target="https://www.slb.com/-/media/files/about-us/foundation/2023-2024-fftf-call-for-applications.ashx" TargetMode="External"/><Relationship Id="rId26" Type="http://schemas.openxmlformats.org/officeDocument/2006/relationships/hyperlink" Target="https://www.ox.ac.uk/admissions/graduate/fees-and-funding/fees-funding-and-scholarship-search/weidenfeld-hoffmann-scholarships-and-leadership-programme" TargetMode="External"/><Relationship Id="rId21" Type="http://schemas.openxmlformats.org/officeDocument/2006/relationships/hyperlink" Target="https://www.eastwestcenter.org/education/ewc-graduate-degree-fellowship/gdf-apply-now" TargetMode="External"/><Relationship Id="rId34" Type="http://schemas.openxmlformats.org/officeDocument/2006/relationships/hyperlink" Target="https://www.apfnet.cn/ProjectCollection/" TargetMode="External"/><Relationship Id="rId7" Type="http://schemas.openxmlformats.org/officeDocument/2006/relationships/hyperlink" Target="https://vgu.edu.vn/study-programs/master/wt" TargetMode="External"/><Relationship Id="rId12" Type="http://schemas.openxmlformats.org/officeDocument/2006/relationships/hyperlink" Target="https://www.wilsoncenter.org/fellowship-application-guidelines" TargetMode="External"/><Relationship Id="rId17" Type="http://schemas.openxmlformats.org/officeDocument/2006/relationships/hyperlink" Target="https://aistic.gov.in/ASEAN/aistdfFellowship" TargetMode="External"/><Relationship Id="rId25" Type="http://schemas.openxmlformats.org/officeDocument/2006/relationships/hyperlink" Target="https://www.mdpi.com/journal/sustainability/awards" TargetMode="External"/><Relationship Id="rId33" Type="http://schemas.openxmlformats.org/officeDocument/2006/relationships/hyperlink" Target="https://www.futurelearn.com/courses/weobserve-the-earth"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umboldt-centre.uni-bayreuth.de/pool/dokumente/Application-Guidelines-Senior-and-Junior-Fellowships.pdf" TargetMode="External"/><Relationship Id="rId20" Type="http://schemas.openxmlformats.org/officeDocument/2006/relationships/hyperlink" Target="https://www.thebritishacademy.ac.uk/funding/visiting-fellowships/" TargetMode="External"/><Relationship Id="rId29" Type="http://schemas.openxmlformats.org/officeDocument/2006/relationships/hyperlink" Target="https://www.mdpi.com/journal/water/awards" TargetMode="External"/><Relationship Id="rId1" Type="http://schemas.openxmlformats.org/officeDocument/2006/relationships/numbering" Target="numbering.xml"/><Relationship Id="rId6" Type="http://schemas.openxmlformats.org/officeDocument/2006/relationships/hyperlink" Target="https://www.ifad.org/en/web/latest/-/call-for-proposals-indigenous-people-s-assistance-facility-ipaf-" TargetMode="External"/><Relationship Id="rId11" Type="http://schemas.openxmlformats.org/officeDocument/2006/relationships/hyperlink" Target="https://www.igb-berlin.de/en/high-profile-postdoctoral-positions" TargetMode="External"/><Relationship Id="rId24" Type="http://schemas.openxmlformats.org/officeDocument/2006/relationships/hyperlink" Target="https://earthjournalism.net/resources/online-courses/from-microbes-to-rainforests-an-introductory-biodiversity-course-for-journalists" TargetMode="External"/><Relationship Id="rId32" Type="http://schemas.openxmlformats.org/officeDocument/2006/relationships/hyperlink" Target="https://fundinnovation.dev/en/application-form-step-0/" TargetMode="External"/><Relationship Id="rId37" Type="http://schemas.openxmlformats.org/officeDocument/2006/relationships/fontTable" Target="fontTable.xml"/><Relationship Id="rId5" Type="http://schemas.openxmlformats.org/officeDocument/2006/relationships/hyperlink" Target="https://www.cepf.net/grants/open-calls-for-proposals/2022-indo-burma-loi-large-small" TargetMode="External"/><Relationship Id="rId15" Type="http://schemas.openxmlformats.org/officeDocument/2006/relationships/hyperlink" Target="https://www.wur.nl/en/Research-Results/Research-Institutes/centre-for-development-innovation/online-learning/Orange-Knowledge-Programme.htm?utm_source=terravivagrants&amp;utm_medium=platform&amp;utm_campaign=wcdi_pe_terraviva" TargetMode="External"/><Relationship Id="rId23" Type="http://schemas.openxmlformats.org/officeDocument/2006/relationships/hyperlink" Target="https://act.unitedpeople.global/upg-sustainability-leadership" TargetMode="External"/><Relationship Id="rId28" Type="http://schemas.openxmlformats.org/officeDocument/2006/relationships/hyperlink" Target="https://www.ugent.be/en/research/funding/bof/dos/docos.htm" TargetMode="External"/><Relationship Id="rId36" Type="http://schemas.openxmlformats.org/officeDocument/2006/relationships/hyperlink" Target="https://learning.recoftc.org/courses/course-v1:RECOFTC+Policyanalysis101+2021/about" TargetMode="External"/><Relationship Id="rId10" Type="http://schemas.openxmlformats.org/officeDocument/2006/relationships/hyperlink" Target="https://crowd4sdg.eu/about-2/climate-resilience-and-justice-2022/" TargetMode="External"/><Relationship Id="rId19" Type="http://schemas.openxmlformats.org/officeDocument/2006/relationships/hyperlink" Target="https://forestry.ubc.ca/future-forests-fellowship/" TargetMode="External"/><Relationship Id="rId31" Type="http://schemas.openxmlformats.org/officeDocument/2006/relationships/hyperlink" Target="https://www.speciesonthebrink.org/asap-grants/rapid-action-fund/" TargetMode="External"/><Relationship Id="rId4" Type="http://schemas.openxmlformats.org/officeDocument/2006/relationships/webSettings" Target="webSettings.xml"/><Relationship Id="rId9" Type="http://schemas.openxmlformats.org/officeDocument/2006/relationships/hyperlink" Target="https://www.asianstudies.org/call-for-applications-2022-2023-cultivating-the-humanities-and-social-sciences-research-grants/" TargetMode="External"/><Relationship Id="rId14" Type="http://schemas.openxmlformats.org/officeDocument/2006/relationships/hyperlink" Target="https://www.conservationleadershipprogramme.org/grants/grant-overview/future-conservationist-award/" TargetMode="External"/><Relationship Id="rId22" Type="http://schemas.openxmlformats.org/officeDocument/2006/relationships/hyperlink" Target="https://ehs.unu.edu/education/masters/international-joint-msc-programme-geography-of-environmental-risks-and-human-security.html" TargetMode="External"/><Relationship Id="rId27" Type="http://schemas.openxmlformats.org/officeDocument/2006/relationships/hyperlink" Target="https://www.humboldt-foundation.de/en/apply/sponsorship-programmes/international-climate-protection-fellowship" TargetMode="External"/><Relationship Id="rId30" Type="http://schemas.openxmlformats.org/officeDocument/2006/relationships/hyperlink" Target="https://pulitzercenter.org/reporting-grants-fellowships" TargetMode="External"/><Relationship Id="rId35" Type="http://schemas.openxmlformats.org/officeDocument/2006/relationships/hyperlink" Target="https://learning.recoftc.org/courses/course-v1:RECOFTC+CF101+2022/about" TargetMode="External"/><Relationship Id="rId8" Type="http://schemas.openxmlformats.org/officeDocument/2006/relationships/hyperlink" Target="https://www.wider.unu.edu/phdfellow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4588</Words>
  <Characters>26154</Characters>
  <Application>Microsoft Office Word</Application>
  <DocSecurity>0</DocSecurity>
  <Lines>217</Lines>
  <Paragraphs>61</Paragraphs>
  <ScaleCrop>false</ScaleCrop>
  <Company/>
  <LinksUpToDate>false</LinksUpToDate>
  <CharactersWithSpaces>30681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PKL</dc:creator>
  <cp:keywords/>
  <dc:description/>
  <cp:lastModifiedBy>PKL</cp:lastModifiedBy>
  <cp:revision>2</cp:revision>
  <dcterms:created xsi:type="dcterms:W3CDTF">2022-09-19T02:43:00Z</dcterms:created>
  <dcterms:modified xsi:type="dcterms:W3CDTF">2022-09-19T02:55:00Z</dcterms:modified>
</cp:coreProperties>
</file>